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</w:numPr>
        <w:spacing w:lineRule="auto" w:line="360"/>
        <w:ind w:left="754" w:right="0" w:hanging="754"/>
        <w:rPr/>
      </w:pPr>
      <w:r>
        <w:rPr/>
        <w:t>ТЕХНИЧЕСКИЕ ТРЕБОВАНИЯ</w:t>
      </w:r>
    </w:p>
    <w:p>
      <w:pPr>
        <w:pStyle w:val="Heading1"/>
        <w:numPr>
          <w:ilvl w:val="0"/>
        </w:numPr>
        <w:spacing w:lineRule="auto" w:line="360"/>
        <w:ind w:left="754" w:right="0" w:hanging="754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ОКПД 2: 27.32.13.124</w:t>
      </w:r>
      <w:r>
        <w:rPr>
          <w:b/>
          <w:bCs/>
          <w:i w:val="false"/>
          <w:caps w:val="false"/>
          <w:smallCaps w:val="false"/>
          <w:spacing w:val="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Поставка электромонтажной продукции для обустройства жилых помещений  на Усть — Среднеканскую ГЭС для нужд Башкирского филиала</w:t>
      </w:r>
    </w:p>
    <w:p>
      <w:pPr>
        <w:pStyle w:val="Heading1"/>
        <w:numPr>
          <w:ilvl w:val="0"/>
        </w:numPr>
        <w:ind w:left="754" w:right="0" w:hanging="754"/>
        <w:rPr/>
      </w:pPr>
      <w:r>
        <w:rPr/>
      </w:r>
      <w:bookmarkStart w:id="0" w:name="__RefHeading___Toc25513_4182492243"/>
      <w:bookmarkStart w:id="1" w:name="__RefHeading___Toc25513_4182492243"/>
      <w:bookmarkEnd w:id="1"/>
    </w:p>
    <w:p>
      <w:pPr>
        <w:pStyle w:val="Normal"/>
        <w:spacing w:lineRule="auto" w:line="360"/>
        <w:jc w:val="center"/>
        <w:rPr>
          <w:strike/>
          <w:sz w:val="22"/>
          <w:szCs w:val="22"/>
        </w:rPr>
      </w:pPr>
      <w:r>
        <w:rPr>
          <w:strike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</w:r>
    </w:p>
    <w:p>
      <w:pPr>
        <w:pStyle w:val="Normal"/>
        <w:keepNext w:val="true"/>
        <w:keepLines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2"/>
            <w:rPr/>
          </w:pPr>
          <w:r>
            <w:br w:type="page"/>
          </w:r>
          <w:r>
            <w:rPr/>
            <w:t>Содержание</w:t>
          </w:r>
        </w:p>
        <w:p>
          <w:pPr>
            <w:pStyle w:val="TOC1"/>
            <w:rPr/>
          </w:pPr>
          <w:r>
            <w:fldChar w:fldCharType="begin"/>
          </w:r>
          <w:r>
            <w:rPr>
              <w:rStyle w:val="Style16"/>
            </w:rPr>
            <w:instrText xml:space="preserve"> TOC \o "1-9" \h</w:instrText>
          </w:r>
          <w:r>
            <w:rPr>
              <w:rStyle w:val="Style16"/>
            </w:rPr>
            <w:fldChar w:fldCharType="separate"/>
          </w:r>
          <w:hyperlink w:anchor="__RefHeading___Toc17118_3230645084">
            <w:r>
              <w:rPr>
                <w:rStyle w:val="Style16"/>
              </w:rPr>
              <w:t xml:space="preserve"> </w:t>
            </w:r>
            <w:r>
              <w:rPr>
                <w:rStyle w:val="Style16"/>
                <w:b/>
                <w:bCs/>
              </w:rPr>
              <w:t>1 Общие сведения</w:t>
            </w:r>
            <w:r>
              <w:rPr>
                <w:rStyle w:val="Style16"/>
              </w:rPr>
              <w:tab/>
              <w:t>3</w:t>
            </w:r>
          </w:hyperlink>
        </w:p>
        <w:p>
          <w:pPr>
            <w:pStyle w:val="TOC1"/>
            <w:rPr/>
          </w:pPr>
          <w:hyperlink w:anchor="__RefHeading___Toc17120_3230645084">
            <w:r>
              <w:rPr>
                <w:rStyle w:val="Style16"/>
              </w:rPr>
              <w:t xml:space="preserve"> </w:t>
            </w:r>
            <w:r>
              <w:rPr>
                <w:rStyle w:val="Style16"/>
              </w:rPr>
              <w:t>1.1 Обозначения и сокращения</w:t>
              <w:tab/>
              <w:t>3</w:t>
            </w:r>
          </w:hyperlink>
        </w:p>
        <w:p>
          <w:pPr>
            <w:pStyle w:val="TOC1"/>
            <w:rPr/>
          </w:pPr>
          <w:hyperlink w:anchor="__RefHeading___Toc32586_3707839662">
            <w:r>
              <w:rPr>
                <w:rStyle w:val="Style16"/>
              </w:rPr>
              <w:t xml:space="preserve"> </w:t>
            </w:r>
            <w:r>
              <w:rPr>
                <w:rStyle w:val="Style16"/>
              </w:rPr>
              <w:t>1.2 Наименование закупаемой продукции.</w:t>
              <w:tab/>
              <w:t>3</w:t>
            </w:r>
          </w:hyperlink>
        </w:p>
        <w:p>
          <w:pPr>
            <w:pStyle w:val="TOC1"/>
            <w:rPr/>
          </w:pPr>
          <w:hyperlink w:anchor="__RefHeading___Toc17122_3230645084">
            <w:r>
              <w:rPr>
                <w:rStyle w:val="Style16"/>
              </w:rPr>
              <w:t xml:space="preserve"> </w:t>
            </w:r>
            <w:r>
              <w:rPr>
                <w:rStyle w:val="Style16"/>
              </w:rPr>
              <w:t>1.3 Цель использования закупаемой продукции.</w:t>
              <w:tab/>
              <w:t>3</w:t>
            </w:r>
          </w:hyperlink>
        </w:p>
        <w:p>
          <w:pPr>
            <w:pStyle w:val="TOC1"/>
            <w:rPr/>
          </w:pPr>
          <w:hyperlink w:anchor="__RefHeading___Toc25515_4182492243">
            <w:r>
              <w:rPr>
                <w:rStyle w:val="Style16"/>
                <w:b/>
                <w:bCs/>
              </w:rPr>
              <w:t xml:space="preserve"> </w:t>
            </w:r>
            <w:r>
              <w:rPr>
                <w:rStyle w:val="Style16"/>
                <w:b/>
                <w:bCs/>
              </w:rPr>
              <w:t>2 Требования к продукции.</w:t>
            </w:r>
            <w:r>
              <w:rPr>
                <w:rStyle w:val="Style16"/>
              </w:rPr>
              <w:tab/>
              <w:t>3</w:t>
            </w:r>
          </w:hyperlink>
        </w:p>
        <w:p>
          <w:pPr>
            <w:pStyle w:val="TOC1"/>
            <w:rPr/>
          </w:pPr>
          <w:hyperlink w:anchor="__RefHeading___Toc32588_3707839662">
            <w:r>
              <w:rPr>
                <w:rStyle w:val="Style16"/>
              </w:rPr>
              <w:t xml:space="preserve"> </w:t>
            </w:r>
          </w:hyperlink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>2.1 Требования к объемам и срокам поставки</w:t>
            <w:tab/>
            <w:t>3</w:t>
          </w:r>
        </w:p>
        <w:p>
          <w:pPr>
            <w:pStyle w:val="TOC1"/>
            <w:rPr>
              <w:rFonts w:ascii="Times New Roman" w:hAnsi="Times New Roman"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</w:pP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 xml:space="preserve"> </w:t>
          </w: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>2.1.1 Перечень и объем закупаемой продукции</w:t>
            <w:tab/>
            <w:t>3</w:t>
          </w:r>
        </w:p>
        <w:p>
          <w:pPr>
            <w:pStyle w:val="TOC1"/>
            <w:rPr>
              <w:rFonts w:ascii="Times New Roman" w:hAnsi="Times New Roman"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</w:pP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 xml:space="preserve"> </w:t>
          </w: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>2.1.2 Требования к срокам поставки продукции.</w:t>
            <w:tab/>
            <w:t>4</w:t>
          </w:r>
        </w:p>
        <w:p>
          <w:pPr>
            <w:pStyle w:val="TOC1"/>
            <w:rPr>
              <w:rFonts w:ascii="Times New Roman" w:hAnsi="Times New Roman"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</w:pP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 xml:space="preserve"> </w:t>
          </w: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>2.2 Требования к качеству продукции</w:t>
            <w:tab/>
            <w:t>5</w:t>
          </w:r>
        </w:p>
        <w:p>
          <w:pPr>
            <w:pStyle w:val="TOC1"/>
            <w:rPr/>
          </w:pPr>
          <w:hyperlink w:anchor="__RefHeading___Toc25517_4182492243">
            <w:r>
              <w:rPr>
                <w:rStyle w:val="Style16"/>
              </w:rPr>
              <w:t xml:space="preserve"> </w:t>
            </w:r>
            <w:r>
              <w:rPr>
                <w:rStyle w:val="Style16"/>
                <w:b/>
                <w:bCs/>
              </w:rPr>
              <w:t>3 Требования к документации по ценообразованию на этапе закупки</w:t>
            </w:r>
            <w:r>
              <w:rPr>
                <w:rStyle w:val="Style16"/>
              </w:rPr>
              <w:tab/>
              <w:t>10</w:t>
            </w:r>
          </w:hyperlink>
          <w:r>
            <w:rPr>
              <w:rStyle w:val="Style16"/>
            </w:rPr>
            <w:fldChar w:fldCharType="end"/>
          </w:r>
        </w:p>
      </w:sdtContent>
    </w:sdt>
    <w:p>
      <w:pPr>
        <w:pStyle w:val="Heading1"/>
        <w:numPr>
          <w:ilvl w:val="0"/>
        </w:numPr>
        <w:ind w:left="0" w:right="0" w:hanging="0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Heading2"/>
        <w:numPr>
          <w:ilvl w:val="0"/>
          <w:numId w:val="1"/>
        </w:numPr>
        <w:rPr/>
      </w:pPr>
      <w:bookmarkStart w:id="2" w:name="__RefHeading___Toc17118_3230645084"/>
      <w:bookmarkStart w:id="3" w:name="_Toc46743506"/>
      <w:bookmarkStart w:id="4" w:name="_Toc75446568"/>
      <w:bookmarkEnd w:id="2"/>
      <w:r>
        <w:rPr/>
        <w:t>Общие сведения</w:t>
      </w:r>
      <w:bookmarkEnd w:id="3"/>
      <w:bookmarkEnd w:id="4"/>
    </w:p>
    <w:p>
      <w:pPr>
        <w:pStyle w:val="Heading2"/>
        <w:numPr>
          <w:ilvl w:val="1"/>
          <w:numId w:val="1"/>
        </w:numPr>
        <w:rPr/>
      </w:pPr>
      <w:bookmarkStart w:id="5" w:name="__RefHeading___Toc17120_3230645084"/>
      <w:bookmarkEnd w:id="5"/>
      <w:r>
        <w:rPr/>
        <w:t>Обозначения и 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:lang w:val="ru-RU" w:bidi="ar-SA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:lang w:val="ru-RU" w:bidi="ar-SA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:lang w:val="ru-RU" w:bidi="ar-SA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:lang w:val="ru-RU" w:bidi="ar-SA"/>
              </w:rPr>
              <w:t>технические требования</w:t>
            </w:r>
          </w:p>
        </w:tc>
      </w:tr>
    </w:tbl>
    <w:p>
      <w:pPr>
        <w:pStyle w:val="Heading3"/>
        <w:keepNext w:val="true"/>
        <w:numPr>
          <w:ilvl w:val="0"/>
          <w:numId w:val="0"/>
        </w:numPr>
        <w:suppressAutoHyphens w:val="true"/>
        <w:bidi w:val="0"/>
        <w:spacing w:before="0" w:after="283"/>
        <w:ind w:left="0" w:right="0" w:hanging="0"/>
        <w:rPr>
          <w:rFonts w:ascii="Times New Roman" w:hAnsi="Times New Roman" w:cs="Times New Roman"/>
          <w:color w:val="auto"/>
          <w:kern w:val="0"/>
          <w:sz w:val="28"/>
          <w:szCs w:val="28"/>
          <w:lang w:val="ru-RU" w:bidi="ar-SA"/>
        </w:rPr>
      </w:pPr>
      <w:r>
        <w:rPr>
          <w:rFonts w:cs="Times New Roman"/>
          <w:color w:val="auto"/>
          <w:kern w:val="0"/>
          <w:sz w:val="28"/>
          <w:szCs w:val="28"/>
          <w:lang w:val="ru-RU" w:bidi="ar-SA"/>
        </w:rPr>
      </w:r>
    </w:p>
    <w:p>
      <w:pPr>
        <w:pStyle w:val="Heading2"/>
        <w:numPr>
          <w:ilvl w:val="1"/>
          <w:numId w:val="1"/>
        </w:numPr>
        <w:rPr/>
      </w:pPr>
      <w:bookmarkStart w:id="6" w:name="__RefHeading___Toc32586_3707839662"/>
      <w:bookmarkEnd w:id="6"/>
      <w:r>
        <w:rPr/>
        <w:t>Наименование закупаемой продукции.</w:t>
      </w:r>
    </w:p>
    <w:p>
      <w:pPr>
        <w:pStyle w:val="BodyText"/>
        <w:spacing w:lineRule="auto" w:line="360"/>
        <w:rPr/>
      </w:pPr>
      <w:r>
        <w:rPr>
          <w:b w:val="false"/>
          <w:bCs w:val="false"/>
          <w:i w:val="false"/>
          <w:caps w:val="false"/>
          <w:smallCaps w:val="false"/>
          <w:spacing w:val="0"/>
          <w:sz w:val="28"/>
          <w:szCs w:val="28"/>
        </w:rPr>
        <w:tab/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ОКПД 2: 27.32.13.124 П</w:t>
      </w:r>
      <w:r>
        <w:rPr>
          <w:b w:val="false"/>
          <w:bCs w:val="false"/>
          <w:i w:val="false"/>
          <w:caps w:val="false"/>
          <w:smallCaps w:val="false"/>
          <w:spacing w:val="0"/>
          <w:sz w:val="28"/>
          <w:szCs w:val="28"/>
        </w:rPr>
        <w:t>оставка электромонтажной продукции для обустройства жилых помещений  на Усть — Среднеканскую ГЭС для нужд Башкирского филиала</w:t>
      </w:r>
    </w:p>
    <w:p>
      <w:pPr>
        <w:pStyle w:val="Heading2"/>
        <w:numPr>
          <w:ilvl w:val="1"/>
          <w:numId w:val="1"/>
        </w:numPr>
        <w:spacing w:lineRule="auto" w:line="360"/>
        <w:rPr/>
      </w:pPr>
      <w:bookmarkStart w:id="7" w:name="__RefHeading___Toc17122_3230645084"/>
      <w:bookmarkEnd w:id="7"/>
      <w:r>
        <w:rPr/>
        <w:t xml:space="preserve">Цель использования закупаемой продукции. </w:t>
      </w:r>
    </w:p>
    <w:p>
      <w:pPr>
        <w:pStyle w:val="Normal"/>
        <w:widowControl w:val="false"/>
        <w:tabs>
          <w:tab w:val="clear" w:pos="643"/>
          <w:tab w:val="left" w:pos="426" w:leader="none"/>
        </w:tabs>
        <w:spacing w:lineRule="auto" w:line="360" w:before="119" w:after="283"/>
        <w:jc w:val="both"/>
        <w:rPr/>
      </w:pPr>
      <w:r>
        <w:rPr>
          <w:color w:val="000000"/>
          <w:sz w:val="28"/>
          <w:szCs w:val="28"/>
        </w:rPr>
        <w:tab/>
        <w:tab/>
        <w:t>Закупаемая продукция предназначена с целью выполнения работ на Усть-Среднеканской ГЭС для  работ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воды, в рамках договора 574-РЕМ от 17.07.2025г</w:t>
      </w:r>
      <w:bookmarkStart w:id="8" w:name="_GoBack_Копия_1"/>
      <w:bookmarkEnd w:id="8"/>
      <w:r>
        <w:rPr>
          <w:color w:val="000000"/>
          <w:sz w:val="28"/>
          <w:szCs w:val="28"/>
        </w:rPr>
        <w:t xml:space="preserve">, подписанного между АО «Усть-Среднеканская ГЭС им. А.Ф. Дьякова» и АО «Гидроремонт-ВКК». </w:t>
      </w:r>
    </w:p>
    <w:p>
      <w:pPr>
        <w:pStyle w:val="Heading2"/>
        <w:numPr>
          <w:ilvl w:val="0"/>
          <w:numId w:val="1"/>
        </w:numPr>
        <w:rPr/>
      </w:pPr>
      <w:bookmarkStart w:id="9" w:name="__RefHeading___Toc25515_4182492243"/>
      <w:bookmarkStart w:id="10" w:name="_Toc75446573"/>
      <w:bookmarkStart w:id="11" w:name="_Toc51339693"/>
      <w:bookmarkEnd w:id="9"/>
      <w:r>
        <w:rPr>
          <w:b/>
        </w:rPr>
        <w:t>Требования к продукции</w:t>
      </w:r>
      <w:bookmarkEnd w:id="10"/>
      <w:bookmarkEnd w:id="11"/>
      <w:r>
        <w:rPr>
          <w:b/>
          <w:caps/>
        </w:rPr>
        <w:t>.</w:t>
      </w:r>
    </w:p>
    <w:p>
      <w:pPr>
        <w:pStyle w:val="Heading2"/>
        <w:numPr>
          <w:ilvl w:val="1"/>
          <w:numId w:val="1"/>
        </w:numPr>
        <w:rPr/>
      </w:pPr>
      <w:bookmarkStart w:id="12" w:name="__RefHeading___Toc32588_3707839662"/>
      <w:bookmarkStart w:id="13" w:name="_Toc75446574"/>
      <w:bookmarkEnd w:id="12"/>
      <w:r>
        <w:rPr/>
        <w:t>Требования к объемам и срокам поставки</w:t>
      </w:r>
      <w:bookmarkEnd w:id="13"/>
    </w:p>
    <w:p>
      <w:pPr>
        <w:pStyle w:val="Heading2"/>
        <w:numPr>
          <w:ilvl w:val="2"/>
          <w:numId w:val="1"/>
        </w:numPr>
        <w:rPr/>
      </w:pPr>
      <w:bookmarkStart w:id="14" w:name="__RefHeading___Toc32590_3707839662"/>
      <w:bookmarkStart w:id="15" w:name="_Toc75446575"/>
      <w:bookmarkEnd w:id="14"/>
      <w:r>
        <w:rPr/>
        <w:t>Перечень и объем закупаемой продукции</w:t>
      </w:r>
      <w:bookmarkEnd w:id="15"/>
    </w:p>
    <w:p>
      <w:pPr>
        <w:pStyle w:val="Heading1"/>
        <w:numPr>
          <w:ilvl w:val="0"/>
        </w:numPr>
        <w:spacing w:before="0" w:after="0"/>
        <w:ind w:left="0" w:right="0" w:hanging="0"/>
        <w:jc w:val="left"/>
        <w:rPr>
          <w:sz w:val="28"/>
          <w:szCs w:val="28"/>
        </w:rPr>
      </w:pPr>
      <w:bookmarkStart w:id="16" w:name="__RefHeading___Toc32592_3707839662"/>
      <w:bookmarkStart w:id="17" w:name="_Toc75446576"/>
      <w:bookmarkStart w:id="18" w:name="_Toc51339695"/>
      <w:bookmarkEnd w:id="16"/>
      <w:r>
        <w:rPr>
          <w:b/>
          <w:sz w:val="28"/>
          <w:szCs w:val="28"/>
        </w:rPr>
        <w:t xml:space="preserve">Таблица 1.1 Перечень </w:t>
      </w:r>
      <w:bookmarkEnd w:id="18"/>
      <w:r>
        <w:rPr>
          <w:b/>
          <w:sz w:val="28"/>
          <w:szCs w:val="28"/>
        </w:rPr>
        <w:t>и объем закупаемой продукции</w:t>
      </w:r>
      <w:bookmarkEnd w:id="17"/>
    </w:p>
    <w:tbl>
      <w:tblPr>
        <w:tblW w:w="9923" w:type="dxa"/>
        <w:jc w:val="left"/>
        <w:tblInd w:w="-5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3"/>
        <w:gridCol w:w="4491"/>
        <w:gridCol w:w="1472"/>
        <w:gridCol w:w="3186"/>
      </w:tblGrid>
      <w:tr>
        <w:trPr>
          <w:tblHeader w:val="true"/>
          <w:trHeight w:val="454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56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933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numPr>
                <w:ilvl w:val="0"/>
                <w:numId w:val="7"/>
              </w:numPr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lineRule="auto" w:line="240" w:before="119" w:after="283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Кабель гибкий 3х2,5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933" w:hRule="atLeast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numPr>
                <w:ilvl w:val="0"/>
                <w:numId w:val="7"/>
              </w:numPr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lineRule="auto" w:line="240" w:before="119" w:after="283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Кабель гибкий  5х16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120</w:t>
            </w:r>
          </w:p>
        </w:tc>
      </w:tr>
      <w:tr>
        <w:trPr>
          <w:trHeight w:val="933" w:hRule="atLeast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numPr>
                <w:ilvl w:val="0"/>
                <w:numId w:val="7"/>
              </w:numPr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lineRule="auto" w:line="240" w:before="119" w:after="283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Инфрокрасный обогреватель (на 25 квадратов)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933" w:hRule="atLeast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numPr>
                <w:ilvl w:val="0"/>
                <w:numId w:val="7"/>
              </w:numPr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Светильники  проводные диодные с крепежом струбцина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>
      <w:pPr>
        <w:pStyle w:val="Heading3"/>
        <w:numPr>
          <w:ilvl w:val="0"/>
          <w:numId w:val="0"/>
        </w:numPr>
        <w:ind w:left="0" w:right="0" w:hanging="0"/>
        <w:rPr>
          <w:rFonts w:ascii="Times New Roman" w:hAnsi="Times New Roman" w:eastAsia="Calibri" w:cs="Times New Roman"/>
          <w:b/>
          <w:color w:val="auto"/>
          <w:kern w:val="0"/>
          <w:sz w:val="28"/>
          <w:szCs w:val="28"/>
          <w:lang w:val="ru-RU" w:eastAsia="x-none" w:bidi="ar-SA"/>
        </w:rPr>
      </w:pP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x-none" w:bidi="ar-SA"/>
        </w:rPr>
      </w:r>
    </w:p>
    <w:p>
      <w:pPr>
        <w:pStyle w:val="Heading2"/>
        <w:widowControl/>
        <w:numPr>
          <w:ilvl w:val="2"/>
          <w:numId w:val="1"/>
        </w:numPr>
        <w:suppressAutoHyphens w:val="true"/>
        <w:bidi w:val="0"/>
        <w:snapToGrid w:val="false"/>
        <w:spacing w:before="0" w:after="283"/>
        <w:ind w:left="0" w:right="0" w:hanging="0"/>
        <w:jc w:val="left"/>
        <w:rPr/>
      </w:pPr>
      <w:bookmarkStart w:id="19" w:name="__RefHeading___Toc32596_3707839662"/>
      <w:bookmarkEnd w:id="19"/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x-none" w:bidi="ar-SA"/>
        </w:rPr>
        <w:t>Требования</w:t>
      </w:r>
      <w:r>
        <w:rPr/>
        <w:t xml:space="preserve"> к срокам поставки продукции. </w:t>
      </w:r>
    </w:p>
    <w:p>
      <w:pPr>
        <w:pStyle w:val="Heading1"/>
        <w:numPr>
          <w:ilvl w:val="0"/>
        </w:numPr>
        <w:spacing w:before="0" w:after="0"/>
        <w:ind w:left="142" w:right="0" w:hanging="0"/>
        <w:jc w:val="left"/>
        <w:rPr>
          <w:sz w:val="28"/>
          <w:szCs w:val="28"/>
        </w:rPr>
      </w:pPr>
      <w:bookmarkStart w:id="20" w:name="__RefHeading___Toc32598_3707839662"/>
      <w:bookmarkStart w:id="21" w:name="_Toc75446579"/>
      <w:bookmarkStart w:id="22" w:name="_Toc50125127"/>
      <w:bookmarkStart w:id="23" w:name="_Toc51339697"/>
      <w:bookmarkStart w:id="24" w:name="_Toc501251261"/>
      <w:bookmarkEnd w:id="20"/>
      <w:bookmarkEnd w:id="24"/>
      <w:r>
        <w:rPr>
          <w:b/>
          <w:sz w:val="28"/>
          <w:szCs w:val="28"/>
        </w:rPr>
        <w:t xml:space="preserve">Таблица 2.1 </w:t>
      </w:r>
      <w:bookmarkStart w:id="25" w:name="_Hlk50465284"/>
      <w:r>
        <w:rPr>
          <w:b/>
          <w:sz w:val="28"/>
          <w:szCs w:val="28"/>
        </w:rPr>
        <w:t xml:space="preserve">Требования по срокам </w:t>
      </w:r>
      <w:bookmarkEnd w:id="22"/>
      <w:bookmarkEnd w:id="23"/>
      <w:bookmarkEnd w:id="25"/>
      <w:r>
        <w:rPr>
          <w:b/>
          <w:sz w:val="28"/>
          <w:szCs w:val="28"/>
        </w:rPr>
        <w:t>поставки продукции</w:t>
      </w:r>
      <w:bookmarkEnd w:id="21"/>
      <w:r>
        <w:rPr>
          <w:b/>
          <w:sz w:val="28"/>
          <w:szCs w:val="28"/>
        </w:rPr>
        <w:t xml:space="preserve"> </w:t>
      </w:r>
    </w:p>
    <w:tbl>
      <w:tblPr>
        <w:tblW w:w="9894" w:type="dxa"/>
        <w:jc w:val="left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6"/>
        <w:gridCol w:w="3519"/>
        <w:gridCol w:w="3855"/>
        <w:gridCol w:w="2053"/>
      </w:tblGrid>
      <w:tr>
        <w:trPr/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>
          <w:trHeight w:val="919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360" w:right="0" w:hanging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ОКПД 2: 27.32.13.124 Поставка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электромонтажной продукции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для обустройства жилых помещений  на Усть — Среднеканскую ГЭС для нужд Башкирского филиала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 даты подписания договора сторонами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fill="FFFFFF"/>
              <w:tabs>
                <w:tab w:val="clear" w:pos="643"/>
                <w:tab w:val="left" w:pos="142" w:leader="none"/>
                <w:tab w:val="left" w:pos="540" w:leader="none"/>
              </w:tabs>
              <w:spacing w:before="0" w:after="120"/>
              <w:ind w:left="0" w:right="0" w:hanging="0"/>
              <w:jc w:val="center"/>
              <w:rPr>
                <w:rFonts w:ascii="Times New Roman" w:hAnsi="Times New Roman"/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В течение 90 календарных дней с даты подписания договора сторонами*</w:t>
            </w:r>
          </w:p>
          <w:p>
            <w:pPr>
              <w:pStyle w:val="ListParagraph"/>
              <w:widowControl w:val="false"/>
              <w:shd w:val="clear" w:fill="FFFFFF"/>
              <w:tabs>
                <w:tab w:val="clear" w:pos="643"/>
                <w:tab w:val="left" w:pos="142" w:leader="none"/>
                <w:tab w:val="left" w:pos="540" w:leader="none"/>
              </w:tabs>
              <w:spacing w:before="0" w:after="120"/>
              <w:ind w:left="0" w:right="0" w:hanging="0"/>
              <w:contextualSpacing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19" w:hRule="atLeast"/>
        </w:trPr>
        <w:tc>
          <w:tcPr>
            <w:tcW w:w="9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- не ранее 01.03.2027. Дата обусловлена отсутствием персонала для приемки материала на площадке производства работ Усть — Среднеканской ГЭС.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1276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1"/>
          <w:numId w:val="1"/>
        </w:numPr>
        <w:rPr/>
      </w:pPr>
      <w:bookmarkStart w:id="26" w:name="__RefHeading___Toc32602_3707839662"/>
      <w:bookmarkStart w:id="27" w:name="_Toc51339698"/>
      <w:bookmarkStart w:id="28" w:name="_Toc75446581"/>
      <w:bookmarkStart w:id="29" w:name="_Toc46743511"/>
      <w:bookmarkStart w:id="30" w:name="_Toc547856221"/>
      <w:bookmarkEnd w:id="26"/>
      <w:bookmarkEnd w:id="30"/>
      <w:r>
        <w:rPr/>
        <w:t xml:space="preserve">Требования к </w:t>
      </w:r>
      <w:bookmarkEnd w:id="29"/>
      <w:r>
        <w:rPr/>
        <w:t>качеству продукции</w:t>
      </w:r>
      <w:bookmarkEnd w:id="28"/>
    </w:p>
    <w:p>
      <w:pPr>
        <w:pStyle w:val="Heading1"/>
        <w:numPr>
          <w:ilvl w:val="0"/>
        </w:numPr>
        <w:spacing w:before="0" w:after="0"/>
        <w:ind w:left="0" w:right="0" w:hanging="0"/>
        <w:jc w:val="left"/>
        <w:rPr>
          <w:sz w:val="28"/>
          <w:szCs w:val="28"/>
        </w:rPr>
      </w:pPr>
      <w:bookmarkStart w:id="31" w:name="_Toc75446582"/>
      <w:r>
        <w:rPr>
          <w:b/>
          <w:sz w:val="28"/>
          <w:szCs w:val="28"/>
        </w:rPr>
        <w:t>Таблица 3. Требования к продукции</w:t>
      </w:r>
      <w:bookmarkEnd w:id="31"/>
      <w:r>
        <w:rPr>
          <w:b/>
          <w:sz w:val="28"/>
          <w:szCs w:val="28"/>
        </w:rPr>
        <w:t xml:space="preserve"> </w:t>
      </w:r>
      <w:bookmarkEnd w:id="27"/>
      <w:r>
        <w:rPr>
          <w:b/>
          <w:bCs/>
          <w:iCs/>
          <w:sz w:val="28"/>
          <w:szCs w:val="28"/>
        </w:rPr>
        <w:t>Наименование продукции (позиция №1</w:t>
      </w:r>
      <w:r>
        <w:rPr>
          <w:b/>
          <w:bCs/>
          <w:iCs/>
          <w:sz w:val="28"/>
          <w:szCs w:val="28"/>
          <w:shd w:fill="FFFFFF" w:val="clear"/>
        </w:rPr>
        <w:t xml:space="preserve">-4 </w:t>
      </w:r>
      <w:r>
        <w:rPr>
          <w:b/>
          <w:bCs/>
          <w:iCs/>
          <w:sz w:val="28"/>
          <w:szCs w:val="28"/>
        </w:rPr>
        <w:t xml:space="preserve">Таблицы 1.1. «Перечень и объем закупаемой продукции»): </w:t>
      </w:r>
      <w:r>
        <w:rPr>
          <w:b w:val="false"/>
          <w:bCs w:val="false"/>
          <w:iCs/>
          <w:color w:val="000000"/>
          <w:sz w:val="28"/>
          <w:szCs w:val="28"/>
        </w:rPr>
        <w:t xml:space="preserve">ОКПД 2: 27.32.13.124 Поставка </w:t>
      </w:r>
      <w:r>
        <w:rPr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>электромонтажного оборудования</w:t>
      </w:r>
      <w:r>
        <w:rPr>
          <w:b w:val="false"/>
          <w:bCs w:val="false"/>
          <w:iCs/>
          <w:color w:val="000000"/>
          <w:sz w:val="28"/>
          <w:szCs w:val="28"/>
        </w:rPr>
        <w:t xml:space="preserve"> для обустройства жилых помещений  на Усть — Среднеканскую ГЭС для нужд Башкирского филиала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0"/>
        <w:gridCol w:w="4534"/>
        <w:gridCol w:w="2285"/>
        <w:gridCol w:w="2123"/>
        <w:gridCol w:w="1953"/>
        <w:gridCol w:w="1341"/>
        <w:gridCol w:w="1575"/>
      </w:tblGrid>
      <w:tr>
        <w:trPr>
          <w:tblHeader w:val="true"/>
          <w:trHeight w:val="20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продукции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параметра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Требование заказчика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Способ подтверждения участником соответствия требованиям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  <w:trHeight w:val="20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Согласие с требованием/ указание характеристик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  <w:lang w:val="en-US"/>
              </w:rPr>
              <w:t>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  <w:lang w:val="en-US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1</w:t>
            </w:r>
          </w:p>
        </w:tc>
        <w:tc>
          <w:tcPr>
            <w:tcW w:w="89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10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lineRule="auto" w:line="240" w:before="119" w:after="28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Кабель гибкий 3х2,5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1.1.1</w:t>
            </w:r>
          </w:p>
        </w:tc>
        <w:tc>
          <w:tcPr>
            <w:tcW w:w="4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lineRule="auto" w:line="240" w:before="119" w:after="283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Количество жил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3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1.1.2</w:t>
            </w:r>
          </w:p>
        </w:tc>
        <w:tc>
          <w:tcPr>
            <w:tcW w:w="4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Сечение каждой жилы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2,5 мм²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1.1.3</w:t>
            </w:r>
          </w:p>
        </w:tc>
        <w:tc>
          <w:tcPr>
            <w:tcW w:w="4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Материал жилы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медь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</w:tc>
        <w:tc>
          <w:tcPr>
            <w:tcW w:w="4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Изоляция и оболочка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ПВХ пластикат пониженной пожарной опасности с низким выделением дыма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1.1.5</w:t>
            </w:r>
          </w:p>
        </w:tc>
        <w:tc>
          <w:tcPr>
            <w:tcW w:w="4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Номинальное напряжение: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660 В или 1000 В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1.1.6</w:t>
            </w:r>
          </w:p>
        </w:tc>
        <w:tc>
          <w:tcPr>
            <w:tcW w:w="4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Растягивающее усилие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Не менее 375 Н.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Указание характеристик 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1.1.7</w:t>
            </w:r>
          </w:p>
        </w:tc>
        <w:tc>
          <w:tcPr>
            <w:tcW w:w="4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Температура жил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В рабочем режиме не более +70 °C, в режиме перегрузки — не более +90 °C.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1.1.8</w:t>
            </w:r>
          </w:p>
        </w:tc>
        <w:tc>
          <w:tcPr>
            <w:tcW w:w="4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Радиус изгиба при нестационарной прокладке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не менее 106 мм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Указание характеристик 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1.1.9</w:t>
            </w:r>
          </w:p>
        </w:tc>
        <w:tc>
          <w:tcPr>
            <w:tcW w:w="4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гибкости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Не ниже 5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Указание характеристик 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1.1.10</w:t>
            </w:r>
          </w:p>
        </w:tc>
        <w:tc>
          <w:tcPr>
            <w:tcW w:w="4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Сопротивление изоляции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 20 °C — не менее 50 МОм·км.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Указание характеристик 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108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lineRule="auto" w:line="240" w:before="119" w:after="28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Кабель гибкий  5х16 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1.2.1</w:t>
            </w:r>
          </w:p>
        </w:tc>
        <w:tc>
          <w:tcPr>
            <w:tcW w:w="4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lineRule="auto" w:line="240" w:before="119" w:after="283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Количество жил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5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1.2.2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Сечение каждой жилы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16 мм²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1.2.3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Материал жилы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медь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1.2.4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Изоляция и оболочка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Термоэластопласт (ТЭП)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1.2.5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Номинальное напряжение: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до 660 В переменного тока (частота до 400 Гц) или до 1000 В постоянного тока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1.2.6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Растягивающее усилие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не более 19,8 Н на 1 мм² суммарного сечения всех жил..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Указание характеристик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1.2.7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Температура жил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в рабочем режиме не более +75 °C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Указание характеристик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1.2.8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Радиус изгиба при нестационарной прокладке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не менее 8 наружных диаметров кабеля.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Указание характеристик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1.2.9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гибкости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Не ниже 5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Указание характеристик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1.2.10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Сопротивление изоляции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 20 °C — не менее 50 МОм·км.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Указание характеристик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108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Инфракрасный обогреватель 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1.3.1</w:t>
            </w:r>
          </w:p>
        </w:tc>
        <w:tc>
          <w:tcPr>
            <w:tcW w:w="4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обогревателя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Инфракрасный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1.3.2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Рекомендуемая площадь использования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25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Указание характеристик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1.3.3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Крепление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Крепление на стену 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1.3.4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Мощность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2кВт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Указание характеристик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1.3.5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Напряжение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220В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1.3.6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Термостат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Есть 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1.3.7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Защитная решетка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Есть 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1.3.8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от перегрева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108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Светильники проводные светодиодные 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1.4.1</w:t>
            </w:r>
          </w:p>
        </w:tc>
        <w:tc>
          <w:tcPr>
            <w:tcW w:w="4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Мощность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100 Вт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Указание характеристик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1.4.2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питания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 сети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1.4.3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Степень защиты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IP 65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1.4.4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 луча света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120 градусов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Указание характеристик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1.4.5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крепления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Напольный 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1.4.6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Температура работы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 +45 С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position w:val="0"/>
                <w:sz w:val="28"/>
                <w:sz w:val="28"/>
                <w:szCs w:val="28"/>
                <w:vertAlign w:val="baseline"/>
              </w:rPr>
              <w:t xml:space="preserve"> до -45 С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1.4.7</w:t>
            </w:r>
          </w:p>
        </w:tc>
        <w:tc>
          <w:tcPr>
            <w:tcW w:w="4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 с вилкой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с требованием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8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Требования к качеству продукции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2.1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новизне поставляемого товара</w:t>
            </w:r>
          </w:p>
        </w:tc>
        <w:tc>
          <w:tcPr>
            <w:tcW w:w="4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Продукция должна быть новой, ранее не использованной.</w:t>
            </w:r>
          </w:p>
        </w:tc>
        <w:tc>
          <w:tcPr>
            <w:tcW w:w="1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-53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x-none"/>
              </w:rPr>
              <w:t>3.</w:t>
            </w:r>
          </w:p>
        </w:tc>
        <w:tc>
          <w:tcPr>
            <w:tcW w:w="8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3.1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поставки</w:t>
            </w:r>
          </w:p>
        </w:tc>
        <w:tc>
          <w:tcPr>
            <w:tcW w:w="4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склада Усть-Среднеканской ГЭС п. Усть-Среднекан, Магаданская область.</w:t>
            </w:r>
          </w:p>
        </w:tc>
        <w:tc>
          <w:tcPr>
            <w:tcW w:w="1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3.2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Поставка</w:t>
            </w:r>
          </w:p>
        </w:tc>
        <w:tc>
          <w:tcPr>
            <w:tcW w:w="4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Поставка производится в рабочие дни с 8-00 до 12-00 и с 13-00 до 16-00 (по местному времени), в пятницу с 8-00 до 12-00 и с 13-00 до 15-00 (по местному времени).</w:t>
            </w:r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Картонная коробка.</w:t>
            </w:r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Обеспечение целостности упаковки с учетом транспортировки до места назначения.</w:t>
            </w:r>
          </w:p>
        </w:tc>
        <w:tc>
          <w:tcPr>
            <w:tcW w:w="1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3.3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Приемка</w:t>
            </w:r>
          </w:p>
        </w:tc>
        <w:tc>
          <w:tcPr>
            <w:tcW w:w="4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Соответствие продукции и представленных документов договору и техническим требованиям.</w:t>
            </w:r>
          </w:p>
        </w:tc>
        <w:tc>
          <w:tcPr>
            <w:tcW w:w="1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x-none"/>
              </w:rPr>
              <w:t>4.</w:t>
            </w:r>
          </w:p>
        </w:tc>
        <w:tc>
          <w:tcPr>
            <w:tcW w:w="8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18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4.1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Гарантия, не менее</w:t>
            </w:r>
          </w:p>
        </w:tc>
        <w:tc>
          <w:tcPr>
            <w:tcW w:w="4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 месяцев 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1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x-none"/>
              </w:rPr>
              <w:t>5.</w:t>
            </w:r>
          </w:p>
        </w:tc>
        <w:tc>
          <w:tcPr>
            <w:tcW w:w="8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>5.1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color w:val="000000"/>
                <w:sz w:val="28"/>
                <w:szCs w:val="28"/>
              </w:rPr>
              <w:t>Документ о качестве продукции (паспорт)</w:t>
            </w:r>
          </w:p>
        </w:tc>
        <w:tc>
          <w:tcPr>
            <w:tcW w:w="4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x-none"/>
              </w:rPr>
              <w:t>Документы на русском языке (декларация соответствия, сертификат качества, паспорт, руководство по эксплуатации)</w:t>
            </w:r>
          </w:p>
        </w:tc>
        <w:tc>
          <w:tcPr>
            <w:tcW w:w="1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Heading4"/>
        <w:numPr>
          <w:ilvl w:val="0"/>
          <w:numId w:val="0"/>
        </w:numPr>
        <w:ind w:left="0" w:right="0" w:hanging="0"/>
        <w:rPr>
          <w:b/>
          <w:sz w:val="28"/>
          <w:szCs w:val="28"/>
          <w:shd w:fill="FFFFFF" w:val="clear"/>
        </w:rPr>
      </w:pPr>
      <w:r>
        <w:rPr>
          <w:b/>
          <w:sz w:val="28"/>
          <w:szCs w:val="28"/>
          <w:shd w:fill="FFFFFF" w:val="clear"/>
        </w:rPr>
      </w:r>
    </w:p>
    <w:p>
      <w:pPr>
        <w:pStyle w:val="Heading2"/>
        <w:numPr>
          <w:ilvl w:val="0"/>
          <w:numId w:val="1"/>
        </w:numPr>
        <w:rPr/>
      </w:pPr>
      <w:bookmarkStart w:id="32" w:name="__RefHeading___Toc25517_4182492243"/>
      <w:bookmarkEnd w:id="32"/>
      <w:r>
        <w:rPr>
          <w:rFonts w:eastAsia="Times New Roman"/>
          <w:b/>
          <w:shd w:fill="FFFFFF" w:val="clear"/>
          <w:lang w:eastAsia="ru-RU"/>
        </w:rPr>
        <w:t xml:space="preserve">Требования </w:t>
      </w:r>
      <w:r>
        <w:rPr>
          <w:b/>
          <w:shd w:fill="FFFFFF" w:val="clear"/>
        </w:rPr>
        <w:t>к документации по ценообразованию на этапе закупки</w:t>
      </w:r>
    </w:p>
    <w:p>
      <w:pPr>
        <w:pStyle w:val="Normal"/>
        <w:spacing w:before="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33" w:name="_Hlk88325985"/>
      <w:r>
        <w:rPr>
          <w:sz w:val="28"/>
          <w:szCs w:val="28"/>
          <w:shd w:fill="FFFFFF" w:val="clear"/>
          <w:lang w:eastAsia="x-none"/>
        </w:rPr>
        <w:t>(с учетом прилагаемой к ней инструкции по заполнению)</w:t>
      </w:r>
      <w:bookmarkEnd w:id="33"/>
      <w:r>
        <w:rPr>
          <w:sz w:val="28"/>
          <w:szCs w:val="28"/>
          <w:shd w:fill="FFFFFF" w:val="clear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  <w:lang w:eastAsia="x-none"/>
        </w:rPr>
        <w:t xml:space="preserve">3.2. </w:t>
      </w:r>
      <w:bookmarkStart w:id="34" w:name="_Hlk88327292"/>
      <w:r>
        <w:rPr>
          <w:sz w:val="28"/>
          <w:szCs w:val="28"/>
          <w:shd w:fill="FFFFFF" w:val="clear"/>
          <w:lang w:eastAsia="x-none"/>
        </w:rPr>
        <w:t>Дополнительные документы по ценообразованию</w:t>
      </w:r>
      <w:bookmarkEnd w:id="34"/>
      <w:r>
        <w:rPr>
          <w:sz w:val="28"/>
          <w:szCs w:val="28"/>
          <w:shd w:fill="FFFFFF" w:val="clear"/>
          <w:lang w:eastAsia="x-none"/>
        </w:rPr>
        <w:t xml:space="preserve"> в состав заявки не включаются.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2"/>
        <w:szCs w:val="22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 %1 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1">
      <w:start w:val="1"/>
      <w:numFmt w:val="decimal"/>
      <w:lvlText w:val=" %1.%2 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3">
      <w:start w:val="1"/>
      <w:numFmt w:val="decimal"/>
      <w:lvlText w:val=" %2.%3.%4 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4">
      <w:start w:val="1"/>
      <w:numFmt w:val="decimal"/>
      <w:lvlText w:val=" %3.%4.%5 "/>
      <w:lvlJc w:val="left"/>
      <w:pPr>
        <w:tabs>
          <w:tab w:val="num" w:pos="1985"/>
        </w:tabs>
        <w:ind w:left="2342" w:hanging="2342"/>
      </w:pPr>
      <w:rPr>
        <w:sz w:val="28"/>
        <w:szCs w:val="28"/>
      </w:rPr>
    </w:lvl>
    <w:lvl w:ilvl="5">
      <w:start w:val="1"/>
      <w:numFmt w:val="decimal"/>
      <w:lvlText w:val=" %4.%5.%6 "/>
      <w:lvlJc w:val="left"/>
      <w:pPr>
        <w:tabs>
          <w:tab w:val="num" w:pos="2381"/>
        </w:tabs>
        <w:ind w:left="2738" w:hanging="2738"/>
      </w:pPr>
      <w:rPr>
        <w:sz w:val="28"/>
        <w:szCs w:val="28"/>
      </w:rPr>
    </w:lvl>
    <w:lvl w:ilvl="6">
      <w:start w:val="1"/>
      <w:numFmt w:val="decimal"/>
      <w:lvlText w:val=" %5.%6.%7 "/>
      <w:lvlJc w:val="left"/>
      <w:pPr>
        <w:tabs>
          <w:tab w:val="num" w:pos="2778"/>
        </w:tabs>
        <w:ind w:left="3135" w:hanging="3135"/>
      </w:pPr>
      <w:rPr>
        <w:sz w:val="28"/>
        <w:szCs w:val="28"/>
      </w:rPr>
    </w:lvl>
    <w:lvl w:ilvl="7">
      <w:start w:val="1"/>
      <w:numFmt w:val="decimal"/>
      <w:lvlText w:val=" %6.%7.%8 "/>
      <w:lvlJc w:val="left"/>
      <w:pPr>
        <w:tabs>
          <w:tab w:val="num" w:pos="3175"/>
        </w:tabs>
        <w:ind w:left="3532" w:hanging="3532"/>
      </w:pPr>
      <w:rPr>
        <w:sz w:val="28"/>
        <w:szCs w:val="28"/>
      </w:rPr>
    </w:lvl>
    <w:lvl w:ilvl="8">
      <w:start w:val="1"/>
      <w:numFmt w:val="decimal"/>
      <w:lvlText w:val=" %7.%8.%9 "/>
      <w:lvlJc w:val="left"/>
      <w:pPr>
        <w:tabs>
          <w:tab w:val="num" w:pos="3572"/>
        </w:tabs>
        <w:ind w:left="3929" w:hanging="3929"/>
      </w:pPr>
      <w:rPr>
        <w:sz w:val="28"/>
        <w:szCs w:val="28"/>
      </w:rPr>
    </w:lvl>
  </w:abstractNum>
  <w:abstractNum w:abstractNumId="2">
    <w:lvl w:ilvl="0">
      <w:start w:val="1"/>
      <w:numFmt w:val="decimal"/>
      <w:lvlText w:val=" %1 "/>
      <w:lvlJc w:val="left"/>
      <w:pPr>
        <w:tabs>
          <w:tab w:val="num" w:pos="0"/>
        </w:tabs>
        <w:ind w:left="754" w:hanging="754"/>
      </w:pPr>
      <w:rPr/>
    </w:lvl>
    <w:lvl w:ilvl="1">
      <w:start w:val="1"/>
      <w:numFmt w:val="decimal"/>
      <w:lvlText w:val=" %1.%2 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6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decimal"/>
      <w:lvlText w:val=" %1 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 %1.%2 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40"/>
  <w:defaultTabStop w:val="643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next w:val="Normal"/>
    <w:link w:val="11"/>
    <w:qFormat/>
    <w:pPr>
      <w:widowControl/>
      <w:numPr>
        <w:ilvl w:val="0"/>
        <w:numId w:val="0"/>
      </w:numPr>
      <w:suppressLineNumbers/>
      <w:tabs>
        <w:tab w:val="clear" w:pos="643"/>
      </w:tabs>
      <w:suppressAutoHyphens w:val="true"/>
      <w:overflowPunct w:val="false"/>
      <w:bidi w:val="0"/>
      <w:spacing w:before="0" w:after="0"/>
      <w:ind w:left="754" w:right="0" w:hanging="754"/>
      <w:jc w:val="center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Heading2">
    <w:name w:val="Heading 2"/>
    <w:next w:val="BodyTextIndent"/>
    <w:link w:val="2"/>
    <w:qFormat/>
    <w:pPr>
      <w:widowControl/>
      <w:numPr>
        <w:ilvl w:val="0"/>
        <w:numId w:val="1"/>
      </w:numPr>
      <w:tabs>
        <w:tab w:val="clear" w:pos="643"/>
      </w:tabs>
      <w:suppressAutoHyphens w:val="true"/>
      <w:overflowPunct w:val="false"/>
      <w:bidi w:val="0"/>
      <w:snapToGrid w:val="false"/>
      <w:spacing w:before="0" w:after="283"/>
      <w:jc w:val="left"/>
      <w:outlineLvl w:val="0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Heading3">
    <w:name w:val="Heading 3"/>
    <w:basedOn w:val="Heading2"/>
    <w:next w:val="Normal"/>
    <w:link w:val="3"/>
    <w:autoRedefine/>
    <w:qFormat/>
    <w:pPr>
      <w:keepNext w:val="true"/>
      <w:widowControl/>
      <w:numPr>
        <w:ilvl w:val="1"/>
        <w:numId w:val="1"/>
      </w:numPr>
      <w:suppressLineNumbers/>
      <w:suppressAutoHyphens w:val="true"/>
      <w:bidi w:val="0"/>
      <w:snapToGrid w:val="false"/>
      <w:spacing w:before="0" w:after="283"/>
      <w:ind w:left="-283" w:right="0" w:hanging="283"/>
      <w:jc w:val="left"/>
      <w:outlineLvl w:val="1"/>
    </w:pPr>
    <w:rPr>
      <w:rFonts w:eastAsia="Calibri"/>
      <w:b/>
      <w:sz w:val="28"/>
      <w:szCs w:val="28"/>
      <w:lang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2"/>
      </w:numPr>
      <w:outlineLvl w:val="2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1">
    <w:name w:val="Гиперссылка1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sz w:val="24"/>
      <w:szCs w:val="24"/>
      <w:lang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7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2">
    <w:name w:val="Подпункт Знак1"/>
    <w:link w:val="Style24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2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3">
    <w:name w:val="УРОВЕНЬ_1. Знак"/>
    <w:link w:val="111"/>
    <w:qFormat/>
    <w:rPr>
      <w:rFonts w:eastAsia="Calibri"/>
      <w:caps/>
      <w:sz w:val="28"/>
      <w:szCs w:val="28"/>
      <w:lang w:eastAsia="en-US"/>
    </w:rPr>
  </w:style>
  <w:style w:type="character" w:styleId="14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Fontstyle01">
    <w:name w:val="fontstyle01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>
    <w:name w:val="Основной текст_"/>
    <w:link w:val="112"/>
    <w:qFormat/>
    <w:rPr>
      <w:sz w:val="28"/>
      <w:shd w:fill="FFFFFF" w:val="clear"/>
    </w:rPr>
  </w:style>
  <w:style w:type="character" w:styleId="Style15">
    <w:name w:val="Символ нумерации"/>
    <w:qFormat/>
    <w:rPr>
      <w:sz w:val="28"/>
      <w:szCs w:val="28"/>
    </w:rPr>
  </w:style>
  <w:style w:type="character" w:styleId="Ecattext">
    <w:name w:val="ecattext"/>
    <w:qFormat/>
    <w:rPr/>
  </w:style>
  <w:style w:type="character" w:styleId="Hyperlink">
    <w:name w:val="Hyperlink"/>
    <w:rPr>
      <w:color w:val="000080"/>
      <w:u w:val="single"/>
    </w:rPr>
  </w:style>
  <w:style w:type="character" w:styleId="Style16">
    <w:name w:val="Ссылка указателя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Strong2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</w:rPr>
  </w:style>
  <w:style w:type="paragraph" w:styleId="BodyText">
    <w:name w:val="Body Text"/>
    <w:link w:val="Style6"/>
    <w:pPr>
      <w:widowControl/>
      <w:suppressAutoHyphens w:val="true"/>
      <w:overflowPunct w:val="false"/>
      <w:bidi w:val="0"/>
      <w:spacing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Style18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>
    <w:name w:val="index heading11"/>
    <w:basedOn w:val="Title"/>
    <w:qFormat/>
    <w:pPr/>
    <w:rPr/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>
    <w:name w:val="index heading111"/>
    <w:basedOn w:val="Title"/>
    <w:qFormat/>
    <w:pPr/>
    <w:rPr/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>
    <w:name w:val="index heading1111"/>
    <w:basedOn w:val="Title"/>
    <w:qFormat/>
    <w:pPr/>
    <w:rPr/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>
    <w:name w:val="index heading11111"/>
    <w:basedOn w:val="15"/>
    <w:qFormat/>
    <w:pPr/>
    <w:rPr/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>
    <w:name w:val="index heading111111"/>
    <w:basedOn w:val="Title"/>
    <w:qFormat/>
    <w:pPr/>
    <w:rPr/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>
    <w:name w:val="index heading1111111"/>
    <w:basedOn w:val="Title"/>
    <w:qFormat/>
    <w:pPr/>
    <w:rPr/>
  </w:style>
  <w:style w:type="paragraph" w:styleId="Caption11111111">
    <w:name w:val="caption11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1111">
    <w:name w:val="index heading11111111"/>
    <w:basedOn w:val="Title"/>
    <w:qFormat/>
    <w:pPr/>
    <w:rPr/>
  </w:style>
  <w:style w:type="paragraph" w:styleId="Style20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1">
    <w:name w:val="Раздел положения"/>
    <w:basedOn w:val="Normal"/>
    <w:autoRedefine/>
    <w:qFormat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22">
    <w:name w:val="Подраздел раздела положения"/>
    <w:basedOn w:val="Normal"/>
    <w:autoRedefine/>
    <w:qFormat/>
    <w:pPr>
      <w:numPr>
        <w:ilvl w:val="1"/>
        <w:numId w:val="3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6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643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643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>
    <w:name w:val="Подпункт"/>
    <w:basedOn w:val="Normal"/>
    <w:link w:val="12"/>
    <w:qFormat/>
    <w:pPr>
      <w:tabs>
        <w:tab w:val="clear" w:pos="643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643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widowControl/>
      <w:tabs>
        <w:tab w:val="clear" w:pos="643"/>
        <w:tab w:val="right" w:pos="9921" w:leader="dot"/>
      </w:tabs>
      <w:suppressAutoHyphens w:val="true"/>
      <w:bidi w:val="0"/>
      <w:spacing w:before="120" w:after="0"/>
      <w:ind w:left="0" w:right="0" w:hanging="0"/>
      <w:jc w:val="left"/>
    </w:pPr>
    <w:rPr>
      <w:rFonts w:cs="Calibri Light (Заголовки)"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5">
    <w:name w:val="Раздел регламента"/>
    <w:basedOn w:val="Normal"/>
    <w:qFormat/>
    <w:pPr/>
    <w:rPr/>
  </w:style>
  <w:style w:type="paragraph" w:styleId="Style26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8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7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8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4"/>
      </w:numPr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4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4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>
    <w:name w:val="Пункт"/>
    <w:basedOn w:val="Normal"/>
    <w:qFormat/>
    <w:pPr>
      <w:widowControl w:val="false"/>
      <w:tabs>
        <w:tab w:val="clear" w:pos="643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>
    <w:name w:val="Подподпункт"/>
    <w:basedOn w:val="Style24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3">
    <w:name w:val="УРОВЕНЬ_(а)"/>
    <w:basedOn w:val="ListParagraph"/>
    <w:qFormat/>
    <w:pPr>
      <w:numPr>
        <w:ilvl w:val="3"/>
        <w:numId w:val="5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5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5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5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>
    <w:name w:val="УРОВЕНЬ_Подпись"/>
    <w:basedOn w:val="ListParagraph"/>
    <w:qFormat/>
    <w:pPr>
      <w:keepNext w:val="true"/>
      <w:numPr>
        <w:ilvl w:val="5"/>
        <w:numId w:val="5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>
    <w:name w:val="Стиль Заголовок 1 + по ширине"/>
    <w:basedOn w:val="Heading1"/>
    <w:qFormat/>
    <w:pPr>
      <w:keepLines/>
      <w:tabs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6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1">
    <w:name w:val="УРОВЕНЬ_1."/>
    <w:basedOn w:val="ListParagraph"/>
    <w:link w:val="13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37">
    <w:name w:val="Абзац списка3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2">
    <w:name w:val="Основной текст1"/>
    <w:basedOn w:val="Normal"/>
    <w:link w:val="Style14"/>
    <w:qFormat/>
    <w:pPr>
      <w:widowControl w:val="false"/>
      <w:shd w:val="clear" w:fill="FFFFFF"/>
      <w:spacing w:lineRule="exact" w:line="302"/>
    </w:pPr>
    <w:rPr>
      <w:szCs w:val="20"/>
    </w:rPr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jc w:val="center"/>
    </w:pPr>
    <w:rPr>
      <w:b/>
      <w:bCs/>
    </w:rPr>
  </w:style>
  <w:style w:type="numbering" w:styleId="123">
    <w:name w:val="Нумерованный 123"/>
    <w:qFormat/>
  </w:style>
  <w:style w:type="numbering" w:styleId="113">
    <w:name w:val="Стиль1"/>
    <w:qFormat/>
  </w:style>
  <w:style w:type="numbering" w:styleId="29">
    <w:name w:val="Стиль2"/>
    <w:qFormat/>
  </w:style>
  <w:style w:type="numbering" w:styleId="18507199991">
    <w:name w:val="18507199991"/>
    <w:qFormat/>
  </w:style>
  <w:style w:type="numbering" w:styleId="40814754371">
    <w:name w:val="40814754371"/>
    <w:qFormat/>
  </w:style>
  <w:style w:type="numbering" w:styleId="42555101371">
    <w:name w:val="42555101371"/>
    <w:qFormat/>
  </w:style>
  <w:style w:type="numbering" w:styleId="29921984231">
    <w:name w:val="29921984231"/>
    <w:qFormat/>
  </w:style>
  <w:style w:type="numbering" w:styleId="12986115471">
    <w:name w:val="12986115471"/>
    <w:qFormat/>
  </w:style>
  <w:style w:type="numbering" w:styleId="27765933641">
    <w:name w:val="27765933641"/>
    <w:qFormat/>
  </w:style>
  <w:style w:type="numbering" w:styleId="10106778751">
    <w:name w:val="10106778751"/>
    <w:qFormat/>
  </w:style>
  <w:style w:type="numbering" w:styleId="2525478901">
    <w:name w:val="252547890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Application>AlterOffice/3.4.0.9$Linux_X86_64 LibreOffice_project/b8daf9e823b1a5463a2f48435ddc2e8696e7d4fc</Application>
  <AppVersion>15.0000</AppVersion>
  <Pages>55</Pages>
  <Words>1071</Words>
  <Characters>6498</Characters>
  <CharactersWithSpaces>7293</CharactersWithSpaces>
  <Paragraphs>348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2026-04-24T12:40:00Z</dcterms:created>
  <dc:creator>Быстров Олег Геннадьевич</dc:creator>
  <dc:description/>
  <dc:language>ru-RU</dc:language>
  <cp:lastModifiedBy/>
  <cp:lastPrinted>2025-04-03T09:55:00Z</cp:lastPrinted>
  <dcterms:modified xsi:type="dcterms:W3CDTF">2026-06-27T16:35:38Z</dcterms:modified>
  <cp:revision>36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