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</w:rPr>
        <w:t>Приложение №1 к ДоЗ</w:t>
      </w:r>
    </w:p>
    <w:p>
      <w:pPr>
        <w:pStyle w:val="Standard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на поставку МТР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 2: 32.99.59 Поставка смывающих, защитных средств для нужд Камчатского филиала АО "ТК РусГидро"</w:t>
      </w:r>
    </w:p>
    <w:p>
      <w:pPr>
        <w:pStyle w:val="Standard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Standard"/>
        <w:jc w:val="center"/>
        <w:rPr>
          <w:b/>
          <w:i/>
          <w:i/>
          <w:sz w:val="26"/>
          <w:szCs w:val="26"/>
        </w:rPr>
      </w:pPr>
      <w:r>
        <w:rPr>
          <w:b/>
          <w:sz w:val="26"/>
          <w:szCs w:val="26"/>
        </w:rPr>
        <w:t>Лот № 2052-АХР ДОР-2027-ТК-КФ</w:t>
      </w:r>
      <w:r>
        <w:br w:type="page"/>
      </w:r>
    </w:p>
    <w:p>
      <w:pPr>
        <w:pStyle w:val="Standard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tabs>
              <w:tab w:val="clear" w:pos="708"/>
              <w:tab w:val="right" w:pos="560" w:leader="dot"/>
              <w:tab w:val="right" w:pos="9911" w:leader="dot"/>
            </w:tabs>
            <w:rPr/>
          </w:pPr>
          <w:r>
            <w:fldChar w:fldCharType="begin"/>
          </w:r>
          <w:r>
            <w:rPr>
              <w:rFonts w:cs="Times New Roman"/>
            </w:rPr>
            <w:instrText xml:space="preserve"> TOC \o "1-4" \h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1.</w:t>
            <w:tab/>
            <w:t>Общие сведения</w:t>
            <w:tab/>
            <w:t>3</w:t>
          </w:r>
        </w:p>
        <w:p>
          <w:pPr>
            <w:pStyle w:val="Contents4"/>
            <w:rPr/>
          </w:pPr>
          <w:r>
            <w:rPr/>
            <w:t>1.1.</w:t>
          </w:r>
          <w:r>
            <w:rPr>
              <w:rFonts w:eastAsia="PMingLiU"/>
            </w:rPr>
            <w:tab/>
          </w:r>
          <w:r>
            <w:rPr/>
            <w:t>Обозначения и сокращения</w:t>
            <w:tab/>
            <w:t>3</w:t>
          </w:r>
        </w:p>
        <w:p>
          <w:pPr>
            <w:pStyle w:val="Contents4"/>
            <w:rPr/>
          </w:pPr>
          <w:r>
            <w:rPr/>
            <w:t>1.2.</w:t>
          </w:r>
          <w:r>
            <w:rPr>
              <w:rFonts w:eastAsia="PMingLiU"/>
            </w:rPr>
            <w:tab/>
          </w:r>
          <w:r>
            <w:rPr/>
            <w:t>Наименование закупаемой продукции</w:t>
            <w:tab/>
            <w:t>3</w:t>
          </w:r>
        </w:p>
        <w:p>
          <w:pPr>
            <w:pStyle w:val="Contents4"/>
            <w:rPr/>
          </w:pPr>
          <w:r>
            <w:rPr/>
            <w:t>1.3.</w:t>
          </w:r>
          <w:r>
            <w:rPr>
              <w:rFonts w:eastAsia="PMingLiU"/>
            </w:rPr>
            <w:tab/>
          </w:r>
          <w:r>
            <w:rPr/>
            <w:t>Цель использования закупаемой продукции</w:t>
            <w:tab/>
            <w:t>3</w:t>
          </w:r>
        </w:p>
        <w:p>
          <w:pPr>
            <w:pStyle w:val="Contents4"/>
            <w:rPr/>
          </w:pPr>
          <w:r>
            <w:rPr/>
            <w:t>1.4.</w:t>
          </w:r>
          <w:r>
            <w:rPr>
              <w:rFonts w:eastAsia="PMingLiU"/>
            </w:rPr>
            <w:tab/>
          </w:r>
          <w:r>
            <w:rPr/>
            <w:t>Иные требования и сведения общего характера</w:t>
            <w:tab/>
            <w:t>3</w:t>
          </w:r>
        </w:p>
        <w:p>
          <w:pPr>
            <w:pStyle w:val="Contents1"/>
            <w:tabs>
              <w:tab w:val="clear" w:pos="708"/>
              <w:tab w:val="right" w:pos="560" w:leader="dot"/>
              <w:tab w:val="right" w:pos="9911" w:leader="dot"/>
            </w:tabs>
            <w:rPr/>
          </w:pPr>
          <w:r>
            <w:rPr>
              <w:rFonts w:cs="Times New Roman"/>
            </w:rPr>
            <w:t>2.</w:t>
          </w:r>
          <w:r>
            <w:rPr>
              <w:rFonts w:eastAsia="PMingLiU" w:cs="Times New Roman"/>
              <w:bCs w:val="false"/>
            </w:rPr>
            <w:tab/>
          </w:r>
          <w:r>
            <w:rPr>
              <w:rFonts w:cs="Times New Roman"/>
            </w:rPr>
            <w:t>Требования к продукции</w:t>
            <w:tab/>
            <w:t>4</w:t>
          </w:r>
        </w:p>
        <w:p>
          <w:pPr>
            <w:pStyle w:val="Contents4"/>
            <w:rPr/>
          </w:pPr>
          <w:r>
            <w:rPr/>
            <w:t>2.1.</w:t>
          </w:r>
          <w:r>
            <w:rPr>
              <w:rFonts w:eastAsia="PMingLiU"/>
            </w:rPr>
            <w:tab/>
          </w:r>
          <w:r>
            <w:rPr/>
            <w:t>Требования к объемам и срокам поставки</w:t>
            <w:tab/>
            <w:t>4</w:t>
          </w:r>
        </w:p>
        <w:p>
          <w:pPr>
            <w:pStyle w:val="Contents3"/>
            <w:rPr/>
          </w:pPr>
          <w:r>
            <w:rPr/>
            <w:t>2.1.1.</w:t>
          </w:r>
          <w:r>
            <w:rPr>
              <w:rFonts w:eastAsia="PMingLiU"/>
            </w:rPr>
            <w:tab/>
          </w:r>
          <w:r>
            <w:rPr/>
            <w:t>Перечень и объем закупаемой продукции</w:t>
            <w:tab/>
            <w:t>4</w:t>
          </w:r>
        </w:p>
        <w:p>
          <w:pPr>
            <w:pStyle w:val="Contents1"/>
            <w:tabs>
              <w:tab w:val="clear" w:pos="708"/>
              <w:tab w:val="right" w:pos="9911" w:leader="dot"/>
            </w:tabs>
            <w:rPr>
              <w:rFonts w:cs="Times New Roman"/>
            </w:rPr>
          </w:pPr>
          <w:r>
            <w:rPr>
              <w:rFonts w:cs="Times New Roman"/>
            </w:rPr>
            <w:t>Таблица 1.1 Перечень и объем закупаемой продукции</w:t>
            <w:tab/>
            <w:t>4</w:t>
          </w:r>
        </w:p>
        <w:p>
          <w:pPr>
            <w:pStyle w:val="Contents3"/>
            <w:rPr/>
          </w:pPr>
          <w:r>
            <w:rPr/>
            <w:t>2.1.2.</w:t>
          </w:r>
          <w:r>
            <w:rPr>
              <w:rFonts w:eastAsia="PMingLiU"/>
            </w:rPr>
            <w:tab/>
          </w:r>
          <w:r>
            <w:rPr/>
            <w:t>Требования к срокам поставки продукции и оказанию сопутствующих услуг</w:t>
            <w:tab/>
            <w:t>4</w:t>
          </w:r>
        </w:p>
        <w:p>
          <w:pPr>
            <w:pStyle w:val="Contents1"/>
            <w:tabs>
              <w:tab w:val="clear" w:pos="708"/>
              <w:tab w:val="right" w:pos="9911" w:leader="dot"/>
            </w:tabs>
            <w:rPr>
              <w:rFonts w:cs="Times New Roman"/>
            </w:rPr>
          </w:pPr>
          <w:r>
            <w:rPr>
              <w:rFonts w:cs="Times New Roman"/>
            </w:rPr>
            <w:t>Таблица 2.1 Требования по срокам поставки продукции</w:t>
            <w:tab/>
            <w:t>4</w:t>
          </w:r>
        </w:p>
        <w:p>
          <w:pPr>
            <w:pStyle w:val="Contents4"/>
            <w:rPr/>
          </w:pPr>
          <w:r>
            <w:rPr/>
            <w:t>2.2.</w:t>
          </w:r>
          <w:r>
            <w:rPr>
              <w:rFonts w:eastAsia="PMingLiU"/>
            </w:rPr>
            <w:tab/>
          </w:r>
          <w:r>
            <w:rPr/>
            <w:t>Требования к качеству продукции</w:t>
            <w:tab/>
            <w:t>5</w:t>
          </w:r>
        </w:p>
        <w:p>
          <w:pPr>
            <w:pStyle w:val="Contents1"/>
            <w:tabs>
              <w:tab w:val="clear" w:pos="708"/>
              <w:tab w:val="right" w:pos="9911" w:leader="dot"/>
            </w:tabs>
            <w:rPr>
              <w:rFonts w:cs="Times New Roman"/>
            </w:rPr>
          </w:pPr>
          <w:r>
            <w:rPr>
              <w:rFonts w:cs="Times New Roman"/>
            </w:rPr>
            <w:t>Таблица 3. Требования к качеству продукции</w:t>
            <w:tab/>
            <w:t>5</w:t>
          </w:r>
        </w:p>
        <w:p>
          <w:pPr>
            <w:pStyle w:val="Standard"/>
            <w:tabs>
              <w:tab w:val="clear" w:pos="708"/>
              <w:tab w:val="right" w:pos="9689" w:leader="dot"/>
            </w:tabs>
            <w:rPr>
              <w:b/>
            </w:rPr>
          </w:pPr>
          <w:r>
            <w:rPr>
              <w:rFonts w:eastAsia="PMingLiU"/>
              <w:b/>
              <w:sz w:val="24"/>
              <w:szCs w:val="24"/>
            </w:rPr>
            <w:t xml:space="preserve">3. </w:t>
          </w:r>
          <w:r>
            <w:rPr>
              <w:b/>
              <w:color w:val="000000"/>
              <w:sz w:val="24"/>
              <w:szCs w:val="24"/>
            </w:rPr>
            <w:t>Требования к документации по ценообразования на этапе закупки………………………………………………………………………………………………17</w:t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</w:rPr>
          </w:pPr>
          <w:r>
            <w:rPr>
              <w:b/>
              <w:color w:val="000000"/>
              <w:sz w:val="24"/>
              <w:szCs w:val="24"/>
            </w:rPr>
            <w:t xml:space="preserve">4. </w:t>
          </w:r>
          <w:r>
            <w:rPr>
              <w:b/>
              <w:bCs/>
              <w:iCs/>
              <w:sz w:val="24"/>
              <w:szCs w:val="24"/>
            </w:rPr>
            <w:t>Требования к документации по ценообразованию на этапе заключения (исполнения) договора………………………………………………………………………………………...…...17</w:t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>
              <w:b/>
              <w:bCs/>
              <w:iCs/>
              <w:sz w:val="24"/>
              <w:szCs w:val="24"/>
            </w:rPr>
          </w:r>
        </w:p>
        <w:p>
          <w:pPr>
            <w:pStyle w:val="Standard"/>
            <w:tabs>
              <w:tab w:val="clear" w:pos="708"/>
              <w:tab w:val="right" w:pos="9689" w:leader="dot"/>
            </w:tabs>
            <w:jc w:val="both"/>
            <w:rPr>
              <w:b/>
              <w:bCs/>
              <w:iCs/>
              <w:sz w:val="24"/>
              <w:szCs w:val="24"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tabs>
          <w:tab w:val="clear" w:pos="708"/>
          <w:tab w:val="right" w:pos="9689" w:leader="dot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7"/>
        </w:numPr>
        <w:jc w:val="center"/>
        <w:rPr>
          <w:b/>
        </w:rPr>
      </w:pPr>
      <w:r>
        <w:rPr>
          <w:b/>
        </w:rPr>
        <w:t>Общие сведения</w:t>
      </w:r>
      <w:bookmarkStart w:id="0" w:name="_Toc125708835"/>
      <w:bookmarkStart w:id="1" w:name="_Toc75446567"/>
      <w:bookmarkStart w:id="2" w:name="_Toc46743505"/>
    </w:p>
    <w:p>
      <w:pPr>
        <w:pStyle w:val="ListParagraph"/>
        <w:numPr>
          <w:ilvl w:val="1"/>
          <w:numId w:val="7"/>
        </w:numPr>
        <w:ind w:left="0" w:firstLine="284"/>
        <w:rPr>
          <w:b/>
        </w:rPr>
      </w:pPr>
      <w:r>
        <w:rPr>
          <w:b/>
        </w:rPr>
        <w:t>Обозначения и сокращения</w:t>
      </w:r>
      <w:bookmarkEnd w:id="0"/>
      <w:bookmarkEnd w:id="1"/>
      <w:bookmarkEnd w:id="2"/>
    </w:p>
    <w:p>
      <w:pPr>
        <w:pStyle w:val="Normal"/>
        <w:rPr/>
      </w:pPr>
      <w:r>
        <w:rPr/>
      </w:r>
    </w:p>
    <w:tbl>
      <w:tblPr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78"/>
        <w:gridCol w:w="8001"/>
      </w:tblGrid>
      <w:tr>
        <w:trPr>
          <w:trHeight w:val="840" w:hRule="atLeast"/>
          <w:cantSplit w:val="true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</w:tc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регламент Таможенного союза ТР ТС 019/2011 «О безопасности средств индивидуальной защиты», утверждён Решением Комиссии Таможенного союза Евразийского экономического сообщества от 9 декабря 2011 года №878</w:t>
            </w:r>
          </w:p>
        </w:tc>
      </w:tr>
      <w:tr>
        <w:trPr>
          <w:cantSplit w:val="true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009/2011</w:t>
            </w:r>
          </w:p>
        </w:tc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Технический регламент Таможенного союза ТР ТС 009/2011 «О безопасности парфюмерно-косметической продукции», утверждён </w:t>
            </w:r>
            <w:r>
              <w:rPr>
                <w:rStyle w:val="Strong"/>
                <w:b w:val="false"/>
                <w:bCs w:val="false"/>
                <w:color w:val="000000"/>
                <w:sz w:val="24"/>
                <w:szCs w:val="24"/>
              </w:rPr>
              <w:t>Решением Комиссии Таможенного союза от 23 сентября 2011 года №799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>
        <w:trPr>
          <w:cantSplit w:val="true"/>
        </w:trPr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31696-2012</w:t>
            </w:r>
          </w:p>
        </w:tc>
        <w:tc>
          <w:tcPr>
            <w:tcW w:w="8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31696-2012 «Продукция косметическая гигиеническая моющая. Общие технические условия», введён в действие приказом Федерального агентства по техническому регулированию и метрологии (Росстандарта) от 29 ноября 2012 года №1762-ст.</w:t>
            </w:r>
          </w:p>
        </w:tc>
      </w:tr>
      <w:tr>
        <w:trPr>
          <w:cantSplit w:val="true"/>
        </w:trPr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31460-2012</w:t>
            </w:r>
          </w:p>
        </w:tc>
        <w:tc>
          <w:tcPr>
            <w:tcW w:w="8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31460-2012 «Кремы косметические. Общие технические условия», введён в действие приказом Федерального агентства по техническому регулированию и метрологии от 23 ноября 2012 года №1150-ст</w:t>
            </w:r>
          </w:p>
        </w:tc>
      </w:tr>
      <w:tr>
        <w:trPr>
          <w:cantSplit w:val="true"/>
        </w:trPr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32117-2013</w:t>
            </w:r>
          </w:p>
        </w:tc>
        <w:tc>
          <w:tcPr>
            <w:tcW w:w="8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Strong1"/>
                <w:b w:val="false"/>
                <w:bCs w:val="false"/>
                <w:color w:val="000000"/>
                <w:sz w:val="24"/>
                <w:szCs w:val="24"/>
              </w:rPr>
              <w:t>ГОСТ 32117-2013 «Продукция парфюмерно-косметическая. Информация для потребителя. Общие требования», введён в действие приказом Федерального агентства по техническому регулированию и метрологии (Росстандарт) от 5 июня 2013 года №146-ст</w:t>
            </w:r>
          </w:p>
        </w:tc>
      </w:tr>
      <w:tr>
        <w:trPr>
          <w:cantSplit w:val="true"/>
        </w:trPr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 Р 12.4.301-2018</w:t>
            </w:r>
          </w:p>
        </w:tc>
        <w:tc>
          <w:tcPr>
            <w:tcW w:w="8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Strong2"/>
                <w:b w:val="false"/>
                <w:bCs w:val="false"/>
                <w:color w:val="000000"/>
                <w:sz w:val="24"/>
                <w:szCs w:val="24"/>
              </w:rPr>
              <w:t>ГОСТ Р 12.4.301-2018</w:t>
            </w:r>
            <w:r>
              <w:rPr>
                <w:color w:val="000000"/>
                <w:sz w:val="24"/>
                <w:szCs w:val="24"/>
              </w:rPr>
              <w:t> — национальный стандарт Российской Федерации «Система стандартов безопасности труда (ССБТ). Средства индивидуальной защиты дерматологические. Общие технические условия», введен в действие приказом Федерального агентства по техническому регулированию и метрологии от 3 октября 2018 года №695-ст.</w:t>
            </w:r>
          </w:p>
        </w:tc>
      </w:tr>
      <w:tr>
        <w:trPr>
          <w:cantSplit w:val="true"/>
        </w:trPr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12.4.115-82</w:t>
            </w:r>
          </w:p>
        </w:tc>
        <w:tc>
          <w:tcPr>
            <w:tcW w:w="8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Strong2"/>
                <w:b w:val="false"/>
                <w:bCs w:val="false"/>
                <w:color w:val="000000"/>
                <w:sz w:val="24"/>
                <w:szCs w:val="24"/>
              </w:rPr>
              <w:t>ГОСТ 12.4.115-82 «Система стандартов безопасности труда. Средства индивидуальной защиты работающих. Общие требования к маркировке», введен в действие: Государственным комитетом СССР по стандартам (постановление от 28 июня 1982 года №2559)</w:t>
            </w:r>
          </w:p>
        </w:tc>
      </w:tr>
      <w:tr>
        <w:trPr>
          <w:trHeight w:val="326" w:hRule="atLeast"/>
          <w:cantSplit w:val="true"/>
        </w:trPr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58151.1-2018</w:t>
            </w:r>
          </w:p>
        </w:tc>
        <w:tc>
          <w:tcPr>
            <w:tcW w:w="8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58151.1-2018 «Средства дезинфицирующие. Общие технические требования», введён в действие приказом Федерального агентства по техническому регулированию и метрологии от 5 июня 2018 года №314-ст.</w:t>
            </w:r>
          </w:p>
        </w:tc>
      </w:tr>
      <w:tr>
        <w:trPr>
          <w:trHeight w:val="326" w:hRule="atLeast"/>
          <w:cantSplit w:val="true"/>
        </w:trPr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ГОСТ 31695-2012</w:t>
            </w:r>
          </w:p>
        </w:tc>
        <w:tc>
          <w:tcPr>
            <w:tcW w:w="8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ГОСТ 31695-2012 «Гели косметические. Общие технические условия», введен Приказом Федерального агентства по техническому регулированию и метрологии (Росстандарт) от 29 ноября 2012 года № 1751-ст</w:t>
            </w:r>
          </w:p>
        </w:tc>
      </w:tr>
    </w:tbl>
    <w:p>
      <w:pPr>
        <w:pStyle w:val="Normal"/>
        <w:rPr/>
      </w:pPr>
      <w:r>
        <w:rPr/>
      </w:r>
      <w:bookmarkStart w:id="3" w:name="_Toc50125126"/>
      <w:bookmarkStart w:id="4" w:name="_Toc46743510"/>
      <w:bookmarkStart w:id="5" w:name="_Toc50125126"/>
      <w:bookmarkStart w:id="6" w:name="_Toc46743510"/>
      <w:bookmarkEnd w:id="5"/>
      <w:bookmarkEnd w:id="6"/>
    </w:p>
    <w:p>
      <w:pPr>
        <w:pStyle w:val="ListParagraph"/>
        <w:numPr>
          <w:ilvl w:val="1"/>
          <w:numId w:val="7"/>
        </w:numPr>
        <w:ind w:left="0" w:firstLine="284"/>
        <w:rPr>
          <w:b/>
        </w:rPr>
      </w:pPr>
      <w:r>
        <w:rPr>
          <w:b/>
        </w:rPr>
        <w:t>Наименование закупаемой продукции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ОКПД 2: 32.99.59 Поставка смывающих, защитных средств для нужд Камчатского филиала АО «ТК РусГидро».</w:t>
      </w:r>
      <w:bookmarkStart w:id="7" w:name="_Toc75446569"/>
      <w:bookmarkStart w:id="8" w:name="_Toc46743507"/>
    </w:p>
    <w:p>
      <w:pPr>
        <w:pStyle w:val="Normal"/>
        <w:rPr/>
      </w:pPr>
      <w:r>
        <w:rPr/>
      </w:r>
    </w:p>
    <w:p>
      <w:pPr>
        <w:pStyle w:val="ListParagraph"/>
        <w:numPr>
          <w:ilvl w:val="1"/>
          <w:numId w:val="7"/>
        </w:numPr>
        <w:ind w:left="0" w:firstLine="284"/>
        <w:rPr>
          <w:b/>
        </w:rPr>
      </w:pPr>
      <w:r>
        <w:rPr>
          <w:b/>
        </w:rPr>
        <w:t xml:space="preserve">Цель </w:t>
      </w:r>
      <w:bookmarkEnd w:id="8"/>
      <w:r>
        <w:rPr>
          <w:b/>
        </w:rPr>
        <w:t>использования закупаемой продукции</w:t>
      </w:r>
      <w:bookmarkEnd w:id="7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Обеспечение сотрудников Камчатского филиала АО «ТК РусГидро» сертифицированными смывающими и обезвреживающими средствами, согласно требованиям статьи 221 Трудового кодекса РФ, Приказа Минтруда России от 29.10.2021 N 766н "Об утверждении Правил обеспечения работников средствами индивидуальной защиты и смывающими средствами" (Зарегистрировано в Минюсте России 29.12.2021 N 66670) и утвержденным нормам.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1"/>
          <w:numId w:val="7"/>
        </w:numPr>
        <w:ind w:left="0" w:firstLine="284"/>
        <w:rPr/>
      </w:pPr>
      <w:bookmarkStart w:id="9" w:name="_Toc75446572"/>
      <w:r>
        <w:rPr>
          <w:b/>
        </w:rPr>
        <w:t>Иные требования и сведения общего характера</w:t>
      </w:r>
      <w:bookmarkEnd w:id="9"/>
    </w:p>
    <w:p>
      <w:pPr>
        <w:pStyle w:val="Normal"/>
        <w:rPr/>
      </w:pPr>
      <w:r>
        <w:rPr/>
      </w:r>
    </w:p>
    <w:p>
      <w:pPr>
        <w:pStyle w:val="ListParagraph"/>
        <w:numPr>
          <w:ilvl w:val="2"/>
          <w:numId w:val="7"/>
        </w:numPr>
        <w:ind w:left="0" w:firstLine="709"/>
        <w:jc w:val="both"/>
        <w:rPr/>
      </w:pPr>
      <w:r>
        <w:rPr/>
        <w:t>Продукция должна быть новой, не ранее 2025 года выпуска, оригинальной (от производителя) или эквивалент продукции, ранее не находившаяся в использовании у Поставщика и (или) третьих лиц, не допускается поставка выставочных образцов.</w:t>
      </w:r>
    </w:p>
    <w:p>
      <w:pPr>
        <w:pStyle w:val="ListParagraph"/>
        <w:numPr>
          <w:ilvl w:val="2"/>
          <w:numId w:val="7"/>
        </w:numPr>
        <w:ind w:left="0" w:firstLine="709"/>
        <w:jc w:val="both"/>
        <w:rPr/>
      </w:pPr>
      <w:r>
        <w:rPr/>
        <w:t>На продукцию устанавливается гарантийный срок не менее 12 месяцев со дня продажи.</w:t>
      </w:r>
    </w:p>
    <w:p>
      <w:pPr>
        <w:pStyle w:val="ListParagraph"/>
        <w:numPr>
          <w:ilvl w:val="2"/>
          <w:numId w:val="7"/>
        </w:numPr>
        <w:ind w:left="0" w:firstLine="709"/>
        <w:jc w:val="both"/>
        <w:rPr/>
      </w:pPr>
      <w:r>
        <w:rPr/>
        <w:t>Поставщик вправе предложить эквивалент к заявленной в настоящем Техническом требовании продукции по позиционно, с указанием марки, модели и технических показателей предлагаемого эквивалента.</w:t>
      </w:r>
    </w:p>
    <w:p>
      <w:pPr>
        <w:pStyle w:val="ListParagraph"/>
        <w:numPr>
          <w:ilvl w:val="2"/>
          <w:numId w:val="7"/>
        </w:numPr>
        <w:ind w:left="0" w:firstLine="709"/>
        <w:jc w:val="both"/>
        <w:rPr/>
      </w:pPr>
      <w:r>
        <w:rPr/>
        <w:t>Поставляемая продукция должна соответствовать требованиям государственных стандартов (технических регламентов), технических условий и других нормативно-технических документов, предъявляемых к данному виду продукции.</w:t>
      </w:r>
    </w:p>
    <w:p>
      <w:pPr>
        <w:pStyle w:val="ListParagraph"/>
        <w:numPr>
          <w:ilvl w:val="2"/>
          <w:numId w:val="7"/>
        </w:numPr>
        <w:ind w:left="0" w:firstLine="709"/>
        <w:jc w:val="both"/>
        <w:rPr/>
      </w:pPr>
      <w:r>
        <w:rPr/>
        <w:t>Наименование, тип, количество закупаемой продукции должно соответствовать настоящим техническим требованиям</w:t>
      </w:r>
      <w:bookmarkStart w:id="10" w:name="_Toc51339693"/>
      <w:r>
        <w:rPr/>
        <w:t>.</w:t>
      </w:r>
    </w:p>
    <w:p>
      <w:pPr>
        <w:pStyle w:val="ListParagraph"/>
        <w:numPr>
          <w:ilvl w:val="2"/>
          <w:numId w:val="7"/>
        </w:numPr>
        <w:ind w:left="0" w:firstLine="709"/>
        <w:jc w:val="both"/>
        <w:rPr/>
      </w:pPr>
      <w:r>
        <w:rPr/>
        <w:t>В сумму предложения должны быть включены все налоги и обязательные платежи, а также расходы, связанные с транспортировкой продукции и погрузо-разгрузочными работами до складов Покупателя по адресам, указанным в данных технических требованиях.</w:t>
      </w:r>
    </w:p>
    <w:p>
      <w:pPr>
        <w:pStyle w:val="Normal"/>
        <w:rPr/>
      </w:pPr>
      <w:r>
        <w:rPr/>
      </w:r>
    </w:p>
    <w:p>
      <w:pPr>
        <w:pStyle w:val="Title"/>
        <w:rPr>
          <w:rFonts w:ascii="Times New Roman" w:hAnsi="Times New Roman" w:eastAsia="Calibri" w:cs="Times New Roman"/>
          <w:spacing w:val="0"/>
          <w:kern w:val="0"/>
          <w:sz w:val="24"/>
          <w:szCs w:val="24"/>
        </w:rPr>
      </w:pPr>
      <w:r>
        <w:rPr>
          <w:rFonts w:eastAsia="Calibri" w:cs="Times New Roman" w:ascii="Times New Roman" w:hAnsi="Times New Roman"/>
          <w:spacing w:val="0"/>
          <w:kern w:val="0"/>
          <w:sz w:val="24"/>
          <w:szCs w:val="24"/>
        </w:rPr>
      </w:r>
    </w:p>
    <w:p>
      <w:pPr>
        <w:pStyle w:val="Title"/>
        <w:numPr>
          <w:ilvl w:val="0"/>
          <w:numId w:val="7"/>
        </w:numPr>
        <w:jc w:val="center"/>
        <w:rPr>
          <w:rFonts w:ascii="Times New Roman" w:hAnsi="Times New Roman" w:eastAsia="Calibri" w:cs="Times New Roman"/>
          <w:b/>
          <w:spacing w:val="0"/>
          <w:kern w:val="0"/>
          <w:sz w:val="24"/>
          <w:szCs w:val="24"/>
        </w:rPr>
      </w:pPr>
      <w:bookmarkStart w:id="11" w:name="_Toc125708839"/>
      <w:r>
        <w:rPr>
          <w:rFonts w:eastAsia="Calibri" w:cs="Times New Roman" w:ascii="Times New Roman" w:hAnsi="Times New Roman"/>
          <w:b/>
          <w:spacing w:val="0"/>
          <w:kern w:val="0"/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3"/>
        <w:numPr>
          <w:ilvl w:val="1"/>
          <w:numId w:val="7"/>
        </w:numPr>
        <w:ind w:left="0" w:firstLine="284"/>
        <w:rPr/>
      </w:pPr>
      <w:bookmarkStart w:id="12" w:name="_Toc141728497"/>
      <w:r>
        <w:rPr/>
        <w:t>Требования к объемам и срокам поставки</w:t>
      </w:r>
      <w:bookmarkEnd w:id="12"/>
    </w:p>
    <w:p>
      <w:pPr>
        <w:pStyle w:val="Heading3"/>
        <w:numPr>
          <w:ilvl w:val="2"/>
          <w:numId w:val="7"/>
        </w:numPr>
        <w:suppressAutoHyphens w:val="false"/>
        <w:spacing w:before="120" w:after="60"/>
        <w:ind w:left="794" w:hanging="504"/>
        <w:textAlignment w:val="auto"/>
        <w:rPr/>
      </w:pPr>
      <w:bookmarkStart w:id="13" w:name="_Toc141728498"/>
      <w:r>
        <w:rPr/>
        <w:t>Перечень и объем закупаемой продукции</w:t>
      </w:r>
      <w:bookmarkEnd w:id="13"/>
    </w:p>
    <w:p>
      <w:pPr>
        <w:pStyle w:val="Title"/>
        <w:rPr>
          <w:rFonts w:ascii="Times New Roman" w:hAnsi="Times New Roman" w:eastAsia="Calibri" w:cs="Times New Roman"/>
          <w:spacing w:val="0"/>
          <w:kern w:val="0"/>
          <w:sz w:val="24"/>
          <w:szCs w:val="24"/>
        </w:rPr>
      </w:pPr>
      <w:r>
        <w:rPr>
          <w:rFonts w:eastAsia="Calibri" w:cs="Times New Roman" w:ascii="Times New Roman" w:hAnsi="Times New Roman"/>
          <w:spacing w:val="0"/>
          <w:kern w:val="0"/>
          <w:sz w:val="24"/>
          <w:szCs w:val="24"/>
        </w:rPr>
      </w:r>
    </w:p>
    <w:p>
      <w:pPr>
        <w:pStyle w:val="Title"/>
        <w:rPr>
          <w:rFonts w:ascii="Times New Roman" w:hAnsi="Times New Roman" w:eastAsia="Calibri" w:cs="Times New Roman"/>
          <w:b/>
          <w:spacing w:val="0"/>
          <w:kern w:val="0"/>
          <w:sz w:val="24"/>
          <w:szCs w:val="24"/>
        </w:rPr>
      </w:pPr>
      <w:bookmarkStart w:id="14" w:name="_Toc125708842"/>
      <w:bookmarkStart w:id="15" w:name="_Toc51339695"/>
      <w:r>
        <w:rPr>
          <w:rFonts w:eastAsia="Calibri" w:cs="Times New Roman" w:ascii="Times New Roman" w:hAnsi="Times New Roman"/>
          <w:b/>
          <w:spacing w:val="0"/>
          <w:kern w:val="0"/>
          <w:sz w:val="24"/>
          <w:szCs w:val="24"/>
        </w:rPr>
        <w:t xml:space="preserve">Таблица 1.1. Перечень </w:t>
      </w:r>
      <w:bookmarkEnd w:id="15"/>
      <w:r>
        <w:rPr>
          <w:rFonts w:eastAsia="Calibri" w:cs="Times New Roman" w:ascii="Times New Roman" w:hAnsi="Times New Roman"/>
          <w:b/>
          <w:spacing w:val="0"/>
          <w:kern w:val="0"/>
          <w:sz w:val="24"/>
          <w:szCs w:val="24"/>
        </w:rPr>
        <w:t>и объем закупаемой продукции</w:t>
      </w:r>
      <w:bookmarkEnd w:id="14"/>
    </w:p>
    <w:tbl>
      <w:tblPr>
        <w:tblW w:w="1009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80"/>
        <w:gridCol w:w="5934"/>
        <w:gridCol w:w="1694"/>
        <w:gridCol w:w="1588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pacing w:val="0"/>
                <w:kern w:val="0"/>
                <w:sz w:val="24"/>
                <w:szCs w:val="24"/>
              </w:rPr>
              <w:t>№</w:t>
            </w:r>
          </w:p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pacing w:val="0"/>
                <w:kern w:val="0"/>
                <w:sz w:val="24"/>
                <w:szCs w:val="24"/>
              </w:rPr>
              <w:t>п/п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pacing w:val="0"/>
                <w:kern w:val="0"/>
                <w:sz w:val="24"/>
                <w:szCs w:val="24"/>
              </w:rPr>
              <w:t>Наименование продукции*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pacing w:val="0"/>
                <w:kern w:val="0"/>
                <w:sz w:val="24"/>
                <w:szCs w:val="24"/>
              </w:rPr>
              <w:t>Единица измерения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pacing w:val="0"/>
                <w:kern w:val="0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pacing w:val="0"/>
                <w:kern w:val="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numPr>
                <w:ilvl w:val="0"/>
                <w:numId w:val="8"/>
              </w:numPr>
              <w:jc w:val="center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ОКПД 2: 32.99.59 Поставка смывающих, защитных средств для нужд Камчатского филиала АО "ТК РусГидро"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widowControl w:val="false"/>
              <w:numPr>
                <w:ilvl w:val="1"/>
                <w:numId w:val="8"/>
              </w:numPr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5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>Твердое туалетное мыло 100гр.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10752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widowControl w:val="false"/>
              <w:numPr>
                <w:ilvl w:val="1"/>
                <w:numId w:val="8"/>
              </w:numPr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5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 xml:space="preserve">Жидкое туалетное мыло с помпой </w:t>
            </w:r>
            <w:r>
              <w:rPr>
                <w:sz w:val="24"/>
                <w:szCs w:val="22"/>
              </w:rPr>
              <w:t>250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4"/>
                <w:szCs w:val="22"/>
              </w:rPr>
              <w:t>396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numPr>
                <w:ilvl w:val="1"/>
                <w:numId w:val="8"/>
              </w:numPr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5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 xml:space="preserve">Крем регенерирующий </w:t>
            </w:r>
            <w:r>
              <w:rPr>
                <w:sz w:val="24"/>
              </w:rPr>
              <w:t>100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4812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widowControl w:val="false"/>
              <w:numPr>
                <w:ilvl w:val="1"/>
                <w:numId w:val="8"/>
              </w:numPr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5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 xml:space="preserve">Спрей для ног с противогрибковым действием </w:t>
            </w:r>
            <w:r>
              <w:rPr>
                <w:sz w:val="24"/>
              </w:rPr>
              <w:t>100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5563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numPr>
                <w:ilvl w:val="1"/>
                <w:numId w:val="8"/>
              </w:numPr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5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 xml:space="preserve">Паста для кожи очищающая с натуральным абразивом </w:t>
            </w:r>
            <w:r>
              <w:rPr>
                <w:sz w:val="24"/>
              </w:rPr>
              <w:t>200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1836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numPr>
                <w:ilvl w:val="1"/>
                <w:numId w:val="8"/>
              </w:numPr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5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 xml:space="preserve">Крем гидрофильный, защитный крем гидрофильного действия для кожи рук и лица </w:t>
            </w:r>
            <w:r>
              <w:rPr>
                <w:sz w:val="24"/>
              </w:rPr>
              <w:t>100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1616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numPr>
                <w:ilvl w:val="1"/>
                <w:numId w:val="8"/>
              </w:numPr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5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 xml:space="preserve">Крем гидрофобный, защитный крем гидрофобного действия для кожи рук и лица </w:t>
            </w:r>
            <w:r>
              <w:rPr>
                <w:sz w:val="24"/>
              </w:rPr>
              <w:t>100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widowControl w:val="false"/>
              <w:numPr>
                <w:ilvl w:val="1"/>
                <w:numId w:val="8"/>
              </w:numPr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5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 xml:space="preserve">Антисептик для рук </w:t>
            </w:r>
            <w:r>
              <w:rPr>
                <w:sz w:val="24"/>
              </w:rPr>
              <w:t>100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4"/>
                <w:szCs w:val="22"/>
              </w:rPr>
              <w:t>шт.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624</w:t>
            </w:r>
          </w:p>
        </w:tc>
      </w:tr>
    </w:tbl>
    <w:p>
      <w:pPr>
        <w:pStyle w:val="Title"/>
        <w:jc w:val="both"/>
        <w:rPr>
          <w:rFonts w:ascii="Times New Roman" w:hAnsi="Times New Roman" w:eastAsia="Calibri" w:cs="Times New Roman"/>
          <w:spacing w:val="0"/>
          <w:kern w:val="0"/>
          <w:sz w:val="24"/>
          <w:szCs w:val="24"/>
        </w:rPr>
      </w:pPr>
      <w:r>
        <w:rPr>
          <w:rFonts w:eastAsia="Calibri" w:cs="Times New Roman" w:ascii="Times New Roman" w:hAnsi="Times New Roman"/>
          <w:spacing w:val="0"/>
          <w:kern w:val="0"/>
          <w:sz w:val="24"/>
          <w:szCs w:val="24"/>
        </w:rPr>
        <w:t>* - объем продукции (нормы выдачи средств индивидуальной защиты) утвержден Приказом Минтруда России от 29 октября 2021 года №767н «Об утверждении Единых типовых норм выдачи средств индивидуальной защиты и смывающих средств», Приказом АО «ТК РусГидро» от 13.10.2023 № ТК РГ/ 126-561 «Об утверждении Норм выдачи дерматологических средств индивидуальной защиты и смывающих средств для работников АО «ТК РусГидро». Поставка эквивалента в ином объеме невозможна.</w:t>
      </w:r>
    </w:p>
    <w:p>
      <w:pPr>
        <w:pStyle w:val="BodyText"/>
        <w:rPr>
          <w:rFonts w:eastAsia="Calibri"/>
        </w:rPr>
      </w:pPr>
      <w:r>
        <w:rPr>
          <w:rFonts w:eastAsia="Calibri"/>
        </w:rPr>
      </w:r>
    </w:p>
    <w:p>
      <w:pPr>
        <w:pStyle w:val="Title"/>
        <w:numPr>
          <w:ilvl w:val="2"/>
          <w:numId w:val="7"/>
        </w:numPr>
        <w:rPr>
          <w:rFonts w:ascii="Times New Roman" w:hAnsi="Times New Roman" w:eastAsia="Calibri" w:cs="Times New Roman"/>
          <w:b/>
          <w:spacing w:val="0"/>
          <w:kern w:val="0"/>
          <w:sz w:val="24"/>
          <w:szCs w:val="24"/>
        </w:rPr>
      </w:pPr>
      <w:r>
        <w:rPr>
          <w:rFonts w:eastAsia="Calibri" w:cs="Times New Roman" w:ascii="Times New Roman" w:hAnsi="Times New Roman"/>
          <w:b/>
          <w:spacing w:val="0"/>
          <w:kern w:val="0"/>
          <w:sz w:val="24"/>
          <w:szCs w:val="24"/>
        </w:rPr>
        <w:t xml:space="preserve">Требования к срокам поставки продукции </w:t>
      </w:r>
    </w:p>
    <w:p>
      <w:pPr>
        <w:pStyle w:val="Title"/>
        <w:ind w:left="1080" w:hanging="0"/>
        <w:rPr>
          <w:rFonts w:ascii="Times New Roman" w:hAnsi="Times New Roman" w:eastAsia="Calibri" w:cs="Times New Roman"/>
          <w:b/>
          <w:spacing w:val="0"/>
          <w:kern w:val="0"/>
          <w:sz w:val="24"/>
          <w:szCs w:val="24"/>
        </w:rPr>
      </w:pPr>
      <w:bookmarkStart w:id="16" w:name="_Toc75446579"/>
      <w:bookmarkStart w:id="17" w:name="_Hlk131575095"/>
      <w:bookmarkEnd w:id="17"/>
      <w:r>
        <w:rPr>
          <w:rFonts w:eastAsia="Calibri" w:cs="Times New Roman" w:ascii="Times New Roman" w:hAnsi="Times New Roman"/>
          <w:b/>
          <w:spacing w:val="0"/>
          <w:kern w:val="0"/>
          <w:sz w:val="24"/>
          <w:szCs w:val="24"/>
        </w:rPr>
        <w:t>Таблица 2.1 Требования по срокам поставки продукции</w:t>
      </w:r>
      <w:bookmarkEnd w:id="16"/>
      <w:r>
        <w:rPr>
          <w:rFonts w:eastAsia="Calibri" w:cs="Times New Roman" w:ascii="Times New Roman" w:hAnsi="Times New Roman"/>
          <w:b/>
          <w:spacing w:val="0"/>
          <w:kern w:val="0"/>
          <w:sz w:val="24"/>
          <w:szCs w:val="24"/>
        </w:rPr>
        <w:t xml:space="preserve"> </w:t>
      </w:r>
    </w:p>
    <w:tbl>
      <w:tblPr>
        <w:tblW w:w="978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3"/>
        <w:gridCol w:w="3981"/>
        <w:gridCol w:w="2410"/>
        <w:gridCol w:w="2806"/>
      </w:tblGrid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tle"/>
              <w:widowControl w:val="false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п/п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tle"/>
              <w:widowControl w:val="false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tle"/>
              <w:widowControl w:val="false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ОКПД 2: 32.99.59 Поставка смывающих, защитных средств для нужд Камчатского филиала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С даты получения заявки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Не позднее 65 календарных дней с даты направления заявки</w:t>
            </w:r>
          </w:p>
        </w:tc>
      </w:tr>
      <w:tr>
        <w:trPr>
          <w:trHeight w:val="70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le"/>
              <w:widowControl w:val="false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0"/>
                <w:kern w:val="0"/>
                <w:sz w:val="24"/>
                <w:szCs w:val="24"/>
              </w:rPr>
              <w:t>ОКПД 2: 32.99.59 Поставка смывающих, защитных средств для нужд Камчатского филиала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 вступает в силу с даты его подписания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widowControl w:val="false"/>
              <w:jc w:val="center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полного исполнения ими принятых на себя обязательств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276" w:right="851" w:gutter="0" w:header="680" w:top="1134" w:footer="0" w:bottom="720"/>
          <w:pgNumType w:fmt="decimal"/>
          <w:formProt w:val="false"/>
          <w:titlePg/>
          <w:textDirection w:val="lrTb"/>
          <w:docGrid w:type="default" w:linePitch="100" w:charSpace="57344"/>
        </w:sectPr>
      </w:pPr>
    </w:p>
    <w:p>
      <w:pPr>
        <w:pStyle w:val="Heading3"/>
        <w:numPr>
          <w:ilvl w:val="1"/>
          <w:numId w:val="7"/>
        </w:numPr>
        <w:ind w:left="0" w:firstLine="284"/>
        <w:rPr/>
      </w:pPr>
      <w:bookmarkStart w:id="18" w:name="_Toc51339698"/>
      <w:bookmarkStart w:id="19" w:name="_Toc125708845"/>
      <w:bookmarkStart w:id="20" w:name="_Toc46743511"/>
      <w:r>
        <w:rPr/>
        <w:t xml:space="preserve">Требования к </w:t>
      </w:r>
      <w:bookmarkEnd w:id="20"/>
      <w:r>
        <w:rPr/>
        <w:t>качеству продукции</w:t>
      </w:r>
      <w:bookmarkEnd w:id="19"/>
    </w:p>
    <w:p>
      <w:pPr>
        <w:pStyle w:val="Title"/>
        <w:rPr>
          <w:rFonts w:ascii="Times New Roman" w:hAnsi="Times New Roman" w:eastAsia="Calibri" w:cs="Times New Roman"/>
          <w:spacing w:val="0"/>
          <w:kern w:val="0"/>
          <w:sz w:val="24"/>
          <w:szCs w:val="24"/>
        </w:rPr>
      </w:pPr>
      <w:r>
        <w:rPr>
          <w:rFonts w:eastAsia="Calibri" w:cs="Times New Roman" w:ascii="Times New Roman" w:hAnsi="Times New Roman"/>
          <w:spacing w:val="0"/>
          <w:kern w:val="0"/>
          <w:sz w:val="24"/>
          <w:szCs w:val="24"/>
        </w:rPr>
      </w:r>
    </w:p>
    <w:p>
      <w:pPr>
        <w:pStyle w:val="Title"/>
        <w:rPr>
          <w:rFonts w:ascii="Times New Roman" w:hAnsi="Times New Roman" w:eastAsia="Calibri" w:cs="Times New Roman"/>
          <w:b/>
          <w:spacing w:val="0"/>
          <w:kern w:val="0"/>
          <w:sz w:val="24"/>
          <w:szCs w:val="24"/>
        </w:rPr>
      </w:pPr>
      <w:r>
        <w:rPr>
          <w:rFonts w:eastAsia="Calibri" w:cs="Times New Roman" w:ascii="Times New Roman" w:hAnsi="Times New Roman"/>
          <w:b/>
          <w:spacing w:val="0"/>
          <w:kern w:val="0"/>
          <w:sz w:val="24"/>
          <w:szCs w:val="24"/>
        </w:rPr>
        <w:t xml:space="preserve"> </w:t>
      </w:r>
      <w:bookmarkStart w:id="21" w:name="_Toc125708846"/>
      <w:r>
        <w:rPr>
          <w:rFonts w:eastAsia="Calibri" w:cs="Times New Roman" w:ascii="Times New Roman" w:hAnsi="Times New Roman"/>
          <w:b/>
          <w:spacing w:val="0"/>
          <w:kern w:val="0"/>
          <w:sz w:val="24"/>
          <w:szCs w:val="24"/>
        </w:rPr>
        <w:t>Таблица 3. Требования к качеству продукции</w:t>
      </w:r>
      <w:bookmarkEnd w:id="18"/>
      <w:bookmarkEnd w:id="21"/>
    </w:p>
    <w:p>
      <w:pPr>
        <w:pStyle w:val="Title"/>
        <w:rPr>
          <w:rFonts w:ascii="Times New Roman" w:hAnsi="Times New Roman" w:eastAsia="Calibri" w:cs="Times New Roman"/>
          <w:spacing w:val="0"/>
          <w:kern w:val="0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Наименование продукции (позиция №1-8 Таблицы 1.1):</w:t>
      </w:r>
      <w:r>
        <w:rPr>
          <w:rFonts w:eastAsia="Calibri" w:cs="Times New Roman" w:ascii="Times New Roman" w:hAnsi="Times New Roman"/>
          <w:spacing w:val="0"/>
          <w:kern w:val="0"/>
          <w:sz w:val="24"/>
          <w:szCs w:val="24"/>
        </w:rPr>
        <w:t xml:space="preserve"> ОКПД 2: 32.99.59 Поставка смывающих, защитных средств для нужд Камчатского филиала АО "ТК РусГидро"</w:t>
      </w:r>
    </w:p>
    <w:tbl>
      <w:tblPr>
        <w:tblW w:w="161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11"/>
        <w:gridCol w:w="3614"/>
        <w:gridCol w:w="73"/>
        <w:gridCol w:w="3249"/>
        <w:gridCol w:w="2825"/>
        <w:gridCol w:w="2550"/>
        <w:gridCol w:w="10"/>
        <w:gridCol w:w="2398"/>
        <w:gridCol w:w="40"/>
      </w:tblGrid>
      <w:tr>
        <w:trPr/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</w:t>
            </w:r>
          </w:p>
        </w:tc>
      </w:tr>
      <w:tr>
        <w:trPr/>
        <w:tc>
          <w:tcPr>
            <w:tcW w:w="1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Твердое туалетное мыло 100гр.</w:t>
            </w:r>
          </w:p>
        </w:tc>
        <w:tc>
          <w:tcPr>
            <w:tcW w:w="3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соответствовать требованиям ТР ТС 009/2011,</w:t>
            </w:r>
            <w:r>
              <w:rPr>
                <w:color w:val="000000"/>
                <w:sz w:val="24"/>
                <w:szCs w:val="24"/>
              </w:rPr>
              <w:t xml:space="preserve"> Количество 10968 шт.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 или Декларации о соответствии ТР ТС № 009/2011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Жидкое туалетное мыло с помпой 250 мл.</w:t>
            </w:r>
          </w:p>
        </w:tc>
        <w:tc>
          <w:tcPr>
            <w:tcW w:w="3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 соответствовать </w:t>
            </w:r>
            <w:r>
              <w:rPr>
                <w:color w:val="000000" w:themeColor="text1"/>
                <w:sz w:val="24"/>
                <w:szCs w:val="24"/>
              </w:rPr>
              <w:t xml:space="preserve">требованиям ТР ТС 019/2011, ГОСТ 31696-2012. Количество </w:t>
            </w:r>
            <w:r>
              <w:rPr>
                <w:color w:val="000000" w:themeColor="text1"/>
                <w:sz w:val="24"/>
                <w:szCs w:val="22"/>
              </w:rPr>
              <w:t>356 шт.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 или Декларации о соответствии ТР ТС № 009/2011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регенерирующий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соответствовать требованиям ТР ТС 019/2011, ГОСТ 31460-2012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ГОСТ 32117-2013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 Р 12.4.301-2018, ГОСТ 12.4.115-82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 12.4.011-89. Количество </w:t>
            </w:r>
            <w:r>
              <w:rPr>
                <w:sz w:val="24"/>
                <w:szCs w:val="22"/>
              </w:rPr>
              <w:t>4812 шт.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 или Декларации о соответствии ТР ТС №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Спрей для ног с противогрибковым действием 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соответствовать требованиям ТР ТС 019/2011, ГОСТ 31460-2012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ГОСТ 32117-2013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 Р 12.4.301-2018, ГОСТ 12.4.115-82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 12.4.011-89. Количество </w:t>
            </w:r>
            <w:r>
              <w:rPr>
                <w:sz w:val="24"/>
                <w:szCs w:val="22"/>
              </w:rPr>
              <w:t>5640 шт.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Декларации о соответствии ТР ТС №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Паста для кожи очищающая с натуральным абразивом </w:t>
            </w:r>
            <w:r>
              <w:rPr>
                <w:sz w:val="24"/>
                <w:szCs w:val="24"/>
              </w:rPr>
              <w:t>200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Должна соответствовать требованиям ТР ТС 019/2011, ГОСТ 31460-2012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ГОСТ 32117-2013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 Р 12.4.301-2018, ГОСТ 12.4.115-82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 12.4.011-89. Количество </w:t>
            </w:r>
            <w:r>
              <w:rPr>
                <w:sz w:val="24"/>
                <w:szCs w:val="22"/>
              </w:rPr>
              <w:t>2268 шт.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сертификата соответствия  или Декларации о соответствии ТР ТС №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гидрофильный, защитный крем гидрофильного действия для кожи рук и лица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соответствовать требованиям ТР ТС 019/2011, ГОСТ 31460-2012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ГОСТ 32117-2013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 Р 12.4.301-2018, ГОСТ 12.4.115-82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 12.4.011-89. Количество </w:t>
            </w:r>
            <w:r>
              <w:rPr>
                <w:sz w:val="24"/>
                <w:szCs w:val="22"/>
              </w:rPr>
              <w:t>2460 шт.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сертификата соответствия  или Декларации о соответствии ТР ТС №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гидрофобный, защитный крем гидрофобного действия для кожи рук и лица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соответствовать требованиям ТР ТС 019/2011, ГОСТ 31460-2012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ГОСТ 32117-2013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 Р 12.4.301-2018, ГОСТ 12.4.115-82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 12.4.011-89. Количество </w:t>
            </w:r>
            <w:r>
              <w:rPr>
                <w:sz w:val="24"/>
                <w:szCs w:val="22"/>
              </w:rPr>
              <w:t>444 шт.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сертификата соответствия  или Декларации о соответствии ТР ТС №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Антисептик для рук 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Должен соответствовать требованиям ГОСТ 31695-2012.</w:t>
            </w:r>
          </w:p>
          <w:p>
            <w:pPr>
              <w:pStyle w:val="Standard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Количество 504 шт.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Сертификата соответствия  или Декларации о соответствии ТР ТС №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Требования к безопасности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Твердое туалетное мыло 100гр.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соответствовать требованиям  ТР ТС 009/2011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009/2011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Жидкое туалетное мыло с помпой 250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соответствовать требованиям ТР ТС 009/2011, ГОСТ 31460-2012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ГОСТ 32117-2013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009/2011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99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Крем регенерирующий 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соответствовать требованиям ТР ТС 019/2011, ГОСТ 31460-2012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ГОСТ 32117-2013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 Р 12.4.301-2018, ГОСТ 12.4.115-82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 12.4.011-89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Спрей для ног с противогрибковым действием 100 мл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 соответствовать требованиям </w:t>
            </w:r>
            <w:r>
              <w:rPr>
                <w:color w:val="000000"/>
                <w:sz w:val="24"/>
                <w:szCs w:val="24"/>
              </w:rPr>
              <w:t>ТР ТС 019/2011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31679-2012. Тара (упаковка)  не менее 100 мл.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Паста для кожи очищающая с натуральным абразивом </w:t>
            </w:r>
            <w:r>
              <w:rPr>
                <w:sz w:val="24"/>
                <w:szCs w:val="24"/>
              </w:rPr>
              <w:t>200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соответствовать требованиям ТР ТС 019/2011, ГОСТ 31460-2012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ГОСТ 32117-2013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 Р 12.4.301-2018, ГОСТ 12.4.115-82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 12.4.011-89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гидрофильный, защитный крем гидрофильного действия для кожи рук и лица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  <w:t>Должен соответствовать требованиям ТР ТС 019/2011</w:t>
            </w:r>
            <w:r>
              <w:rPr>
                <w:sz w:val="24"/>
                <w:szCs w:val="24"/>
              </w:rPr>
              <w:t>, ГОСТ 31460-2012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ГОСТ 32117-2013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 Р 12.4.301-2018, ГОСТ 12.4.115-82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 12.4.011-89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Крем гидрофобный, защитный крем гидрофобного действия для кожи рук и лица 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 соответствовать требованиям ТР ТС 019/2011, ГОСТ 31460-2012</w:t>
            </w:r>
            <w:r>
              <w:rPr>
                <w:b/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ГОСТ 32117-2013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 Р 12.4.301-2018, ГОСТ 12.4.115-82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ГОСТ 12.4.011-89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0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Антисептик для рук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соответствовать требованиям ТР ТС 019/2011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left="36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Требования к конструкции, изготовлению и материалам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Твердое туалетное мыло 100гр.</w:t>
            </w:r>
          </w:p>
        </w:tc>
        <w:tc>
          <w:tcPr>
            <w:tcW w:w="3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 соответствовать требованиям ТР ТС 009/2011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Жидкое туалетное мыло с помпой 250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 соответствовать требованиям ТР ТС 009/2011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регенерирующий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Назначение: восстановление нормального состояния кожного покрова после воздействия вредных производственных факторов.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Спрей для ног с противогрибковым действием 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соответствовать требованиям ТР ТС 019/2011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8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Паста для кожи очищающая с натуральным абразивом </w:t>
            </w:r>
            <w:r>
              <w:rPr>
                <w:sz w:val="24"/>
                <w:szCs w:val="24"/>
              </w:rPr>
              <w:t>200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Очищающая паста с натуральными абразивными гранулами. Должна осуществлять очистку открытых участков кожи от широкого спектра устойчивых загрязнений.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гидрофильный, защитный крем гидрофильного действия для кожи рук и лица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 гидрофильный должен осуществлять защиту кожи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водонерастворимых вредных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производственных факторов и веществ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(нефтепродуктов, технических масел,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лаков, красок, смол, битума, гудрона,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угольной и металлической пыли).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Эффективно защищать кожу рук, лица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всего тела за счет содержания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специальных увлажняющих и питающих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компонентов, способствовать ее легкой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последующей очистке. Не вызывать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раздражения и аллергических реакций.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содержать вредных компонентов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силиконов.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гидрофобный, защитный крем гидрофобного действия для кожи рук и лица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Крем гидрофобный должен осуществлять защиту кожи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водорастворимых вредных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производственных факторов и веществ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(растворов щелочей, кислот, пигментных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других смазок на водной основе).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защищать кожу рук, лица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всего тела за счет содержания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специальных увлажняющих и питающих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компонентов. Не вызывать раздражения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аллергических реакций. Не содержать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вредных компонентов.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Антисептик для рук 100 мл.</w:t>
            </w:r>
          </w:p>
        </w:tc>
        <w:tc>
          <w:tcPr>
            <w:tcW w:w="3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andard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Должен обладать антимикробными, антивирусными и дезинфицирующими свойствами.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left="36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Твердое туалетное мыло 100гр.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 соответствовать требованиям ТР ТС 009/2011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009/2011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Жидкое туалетное мыло с помпой 250 мл.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 соответствовать требованиям </w:t>
            </w:r>
            <w:r>
              <w:rPr>
                <w:color w:val="333333"/>
                <w:sz w:val="24"/>
                <w:szCs w:val="24"/>
              </w:rPr>
              <w:t xml:space="preserve">ГОСТ 31696-2012, </w:t>
            </w:r>
            <w:r>
              <w:rPr>
                <w:sz w:val="24"/>
                <w:szCs w:val="24"/>
              </w:rPr>
              <w:t>ТР ТС 009/2011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009/2011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регенерирующий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соответствовать требованиям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Спрей для ног с противогрибковым действием 100 мл.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соответствовать требованиям ТР ТС 019/2011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019/2011</w:t>
            </w: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Паста для кожи очищающая с натуральным абразивом </w:t>
            </w:r>
            <w:r>
              <w:rPr>
                <w:sz w:val="24"/>
                <w:szCs w:val="24"/>
              </w:rPr>
              <w:t>200 мл.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Должна соответствовать требованиям ТР ТС 019/2011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019/2011</w:t>
            </w: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гидрофильный, защитный крем гидрофильного действия для кожи рук и лица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Должен соответствовать требованиям </w:t>
            </w:r>
            <w:r>
              <w:rPr>
                <w:sz w:val="24"/>
                <w:szCs w:val="24"/>
              </w:rPr>
              <w:t>ТР ТС 019/2011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гидрофобный, защитный крем гидрофобного действия для кожи рук и лица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 соответствовать требованиям ТР ТС 019/2011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Антисептик для рук 100 мл.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Должен соответствовать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ГОСТ 31695-2012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, </w:t>
            </w:r>
            <w:r>
              <w:rPr>
                <w:sz w:val="24"/>
                <w:szCs w:val="24"/>
                <w:shd w:fill="auto" w:val="clear"/>
              </w:rPr>
              <w:t>ТР ТС 019/2011</w:t>
            </w:r>
            <w:r>
              <w:rPr>
                <w:color w:val="000000"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Сертификата соответствия / Декларации о соответствии ТР ТС 019/2011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left="36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9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47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/>
            </w:pPr>
            <w:r>
              <w:rPr/>
              <w:t>Фасовка, упаковка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9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"/>
              </w:numPr>
              <w:spacing w:before="60" w:after="60"/>
              <w:contextualSpacing/>
              <w:jc w:val="both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Твердое туалетное мыло 100гр.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туалетное в обертке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Фасовка: не менее 100 гр.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9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Жидкое туалетное мыло с помпой 250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Фасовка: 250 мл.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Тара (упаковка) с помпой  не менее 250 мл.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9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регенерирующий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Фасовка: 100 мл.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Тюбик полимерный или металлический, объемом не менее 100 мл.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9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Спрей для ног с противогрибковым действием 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Фасовка: 100 мл.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Флакон с дозатором объемом не менее 100 мл.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9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Паста для кожи очищающая с натуральным абразивом </w:t>
            </w:r>
            <w:r>
              <w:rPr>
                <w:sz w:val="24"/>
                <w:szCs w:val="24"/>
              </w:rPr>
              <w:t>200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Фасовка: 200 мл.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Тюбик полимерный или металлический, объемом не менее 200 мл.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9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гидрофильный, защитный крем гидрофильного действия для кожи рук и лица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Фасовка: 100 мл.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Тюбик полимерный или металлический, объемом не менее 100 мл.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30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Крем гидрофобный, защитный крем гидрофобного действия для кожи рук и лица </w:t>
            </w:r>
            <w:r>
              <w:rPr>
                <w:sz w:val="24"/>
                <w:szCs w:val="24"/>
              </w:rPr>
              <w:t>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Фасовка: 100 мл.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Тюбик полимерный или металлический, объемом не менее 100 мл.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9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3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Антисептик для рук 100 мл.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Фасовка: 100 мл.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Флакон с дозатором объемом не менее 100 мл</w:t>
            </w:r>
          </w:p>
          <w:p>
            <w:pPr>
              <w:pStyle w:val="Standard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или</w:t>
            </w:r>
          </w:p>
          <w:p>
            <w:pPr>
              <w:pStyle w:val="Standard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Пластиковая туба объемом 100 мл.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9" w:hRule="atLeas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 и упаковке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и транспортировка должна быть включена в стоимость и осуществляться за счет средств поставщика.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доставки: 683032, Камчатский край, г. Петропавловск-Камчатский, ул. Степная, 50.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Маркировка должна соответствовать </w:t>
            </w:r>
            <w:r>
              <w:rPr>
                <w:bCs/>
                <w:sz w:val="24"/>
                <w:szCs w:val="24"/>
              </w:rPr>
              <w:t>ТР ТС 019/2011.</w:t>
            </w:r>
          </w:p>
          <w:p>
            <w:pPr>
              <w:pStyle w:val="Standard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маркировки (может варьироваться, в зависимости от изделия):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-наименование изделия (при наличии - наименование модели, кода, артикула);</w:t>
              <w:br/>
              <w:t>-наименование изготовителя и (или) его товарный знак (при наличии);</w:t>
              <w:br/>
              <w:t>-защитные свойства;</w:t>
              <w:br/>
              <w:t>-размер;</w:t>
              <w:br/>
              <w:t>-обозначение технического регламента Таможенного союза, требованиям которого должно соответствовать изделие;</w:t>
              <w:br/>
              <w:t>-дата (месяц, год) изготовления или дата окончания срока годности, если она установлена;</w:t>
              <w:br/>
              <w:t>-сведения о классе защиты;</w:t>
              <w:br/>
              <w:t>-сведения о способах ухода и требованиях к утилизации средства индивидуальной защиты;</w:t>
              <w:br/>
              <w:t>-сведения о документе, в соответствии с которым изготовлено средство индивидуальной защиты.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каждой единицы товара должна быть в индивидуальный полиэтиленовый; бумажно-полиэтиленовый пакет, либо иная форма упаковки, соответствующая требованиям агрегатного состояния. Дополнительно весь товар должен быть упакован в упаковочную тару (коробку), обеспечивающую сохранность товара при транспортировке и хранении. Упаковка и маркировка должны соответствовать требованиям действующего законодательства, обеспечивать сохранность товара при транспортировке и хранении, упаковка должна быть новой, неповрежденной при транспортировке и иметь соответствующую маркировку.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проводится согласно спецификации, по накладной  и подписании Акта приема-передачи.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b w:val="false"/>
                <w:bCs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rFonts w:eastAsia="Times New Roman"/>
                <w:b w:val="false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hanging="0"/>
              <w:contextualSpacing/>
              <w:rPr/>
            </w:pPr>
            <w:r>
              <w:rPr/>
              <w:t>6.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4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4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4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4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84" w:hanging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6.1.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безопасности.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Поставляемая продукция должна соответствовать нормам Федерального закона от 24.06.1998 N 89-ФЗ "Об отходах производства и потребления". Эксплуатационные характеристики должны соответствовать, ТР ТС 019/2011 и ТР ТС 009/2011.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b w:val="false"/>
                <w:bCs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hanging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Standard"/>
              <w:widowControl w:val="false"/>
              <w:spacing w:before="2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2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2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4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84" w:hanging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7.1.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срокам гарантийного обслуживания.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предоставляемой гарантии должен быть в соответствии с установленным производителем товара сроком гарантии на товар, либо быть установлен поставщиком на срок не менее года. Остаточный срок годности на момент поставки товара должен составлять не менее 80%. В гарантийных случаях транспортировка и сопутствующие расходы обеспечиваются за счет поставщика.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b w:val="false"/>
                <w:bCs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hanging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8.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4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8.1.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подтверждению качества поставляемой продукции.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Подтверждением качества поставляемого товара со стороны Поставщика являются документы, установленного образца декларация о соответствии (действующий сертификат соответствия и т.п.) в случае установления действующим законодательством соответствующих требований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9.1.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по состоянию  товара.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В случае обнаружения некачественного или несоответствующего заявленным требованиям товара Заказчик имеет право предъявить претензии Поставщику в течение всего срока гарантии и потребовать замены некачественного товара в согласованные сроки за счет Поставщика.</w:t>
            </w:r>
          </w:p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b w:val="false"/>
                <w:bCs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/>
            </w:pPr>
            <w:r>
              <w:rPr/>
              <w:t>10.1.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Поставщик передает Заказчику товарную накладную в 2х экземплярах, акт выполненных работ, заверенные копии  деклараций или сертификатов о соответствии ТР ТС 019/2011 или ТР ТС 009/2011 инструкции по эксплуатации на русском языке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0" w:after="0"/>
              <w:contextualSpacing/>
              <w:jc w:val="both"/>
              <w:rPr>
                <w:rFonts w:eastAsia="Times New Roman"/>
                <w:b w:val="false"/>
              </w:rPr>
            </w:pPr>
            <w:r>
              <w:rPr>
                <w:b w:val="false"/>
                <w:bCs/>
              </w:rPr>
              <w:t>Согласие с требованием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340" w:right="340" w:gutter="0" w:header="680" w:top="737" w:footer="0" w:bottom="720"/>
          <w:pgNumType w:fmt="decimal"/>
          <w:formProt w:val="false"/>
          <w:titlePg/>
          <w:textDirection w:val="lrTb"/>
          <w:docGrid w:type="default" w:linePitch="100" w:charSpace="57344"/>
        </w:sectPr>
      </w:pPr>
    </w:p>
    <w:p>
      <w:pPr>
        <w:pStyle w:val="Heading1"/>
        <w:keepLines/>
        <w:numPr>
          <w:ilvl w:val="0"/>
          <w:numId w:val="9"/>
        </w:numPr>
        <w:ind w:left="340" w:firstLine="340"/>
        <w:jc w:val="both"/>
        <w:rPr/>
      </w:pPr>
      <w:bookmarkStart w:id="22" w:name="_Toc54643710"/>
      <w:bookmarkStart w:id="23" w:name="_Toc53395937"/>
      <w:bookmarkStart w:id="24" w:name="_Toc53393312"/>
      <w:bookmarkStart w:id="25" w:name="_Toc51339699"/>
      <w:bookmarkStart w:id="26" w:name="_Toc46743519"/>
      <w:bookmarkEnd w:id="25"/>
      <w:bookmarkEnd w:id="26"/>
      <w:r>
        <w:rPr>
          <w:sz w:val="24"/>
          <w:szCs w:val="24"/>
        </w:rPr>
        <w:t>Требования к документации по ценообразованию</w:t>
      </w:r>
      <w:bookmarkEnd w:id="23"/>
      <w:bookmarkEnd w:id="24"/>
      <w:r>
        <w:rPr>
          <w:sz w:val="24"/>
          <w:szCs w:val="24"/>
        </w:rPr>
        <w:t xml:space="preserve"> на этапе закупки</w:t>
      </w:r>
      <w:bookmarkEnd w:id="22"/>
    </w:p>
    <w:p>
      <w:pPr>
        <w:pStyle w:val="Normal"/>
        <w:numPr>
          <w:ilvl w:val="1"/>
          <w:numId w:val="9"/>
        </w:numPr>
        <w:suppressAutoHyphens w:val="false"/>
        <w:spacing w:before="60" w:after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bookmarkStart w:id="27" w:name="_Toc54643711"/>
      <w:bookmarkStart w:id="28" w:name="_Toc54281228"/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9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29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ListParagraph"/>
        <w:numPr>
          <w:ilvl w:val="1"/>
          <w:numId w:val="9"/>
        </w:numPr>
        <w:jc w:val="both"/>
        <w:rPr>
          <w:rFonts w:eastAsia="Times New Roman"/>
          <w:iCs/>
          <w:lang w:eastAsia="x-none"/>
        </w:rPr>
      </w:pPr>
      <w:r>
        <w:rPr>
          <w:rFonts w:eastAsia="Times New Roman"/>
          <w:iCs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 (Приложение №2 к Документации о закупке).</w:t>
      </w:r>
    </w:p>
    <w:p>
      <w:pPr>
        <w:pStyle w:val="Normal"/>
        <w:numPr>
          <w:ilvl w:val="1"/>
          <w:numId w:val="9"/>
        </w:numPr>
        <w:suppressAutoHyphens w:val="false"/>
        <w:spacing w:before="60" w:after="0"/>
        <w:jc w:val="both"/>
        <w:rPr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Участника не включаются.</w:t>
      </w:r>
      <w:bookmarkEnd w:id="27"/>
      <w:bookmarkEnd w:id="28"/>
    </w:p>
    <w:p>
      <w:pPr>
        <w:pStyle w:val="Standard"/>
        <w:ind w:left="720" w:hanging="0"/>
        <w:jc w:val="both"/>
        <w:rPr>
          <w:bCs/>
          <w:iCs/>
          <w:strike/>
          <w:color w:val="FF0000"/>
          <w:sz w:val="24"/>
          <w:szCs w:val="24"/>
        </w:rPr>
      </w:pPr>
      <w:r>
        <w:rPr>
          <w:bCs/>
          <w:iCs/>
          <w:strike/>
          <w:color w:val="FF0000"/>
          <w:sz w:val="24"/>
          <w:szCs w:val="24"/>
        </w:rPr>
      </w:r>
    </w:p>
    <w:p>
      <w:pPr>
        <w:pStyle w:val="Standard"/>
        <w:ind w:left="720" w:hanging="0"/>
        <w:jc w:val="both"/>
        <w:rPr>
          <w:bCs/>
          <w:iCs/>
          <w:strike/>
          <w:color w:val="FF0000"/>
          <w:sz w:val="24"/>
          <w:szCs w:val="24"/>
        </w:rPr>
      </w:pPr>
      <w:r>
        <w:rPr>
          <w:bCs/>
          <w:iCs/>
          <w:strike/>
          <w:color w:val="FF0000"/>
          <w:sz w:val="24"/>
          <w:szCs w:val="24"/>
        </w:rPr>
      </w:r>
    </w:p>
    <w:p>
      <w:pPr>
        <w:pStyle w:val="Standard"/>
        <w:ind w:left="720" w:hanging="0"/>
        <w:jc w:val="both"/>
        <w:rPr>
          <w:bCs/>
          <w:iCs/>
          <w:strike/>
          <w:color w:val="FF0000"/>
          <w:sz w:val="24"/>
          <w:szCs w:val="24"/>
        </w:rPr>
      </w:pPr>
      <w:r>
        <w:rPr>
          <w:bCs/>
          <w:iCs/>
          <w:strike/>
          <w:color w:val="FF0000"/>
          <w:sz w:val="24"/>
          <w:szCs w:val="24"/>
        </w:rPr>
      </w:r>
    </w:p>
    <w:p>
      <w:pPr>
        <w:pStyle w:val="Standard"/>
        <w:ind w:left="720" w:hanging="0"/>
        <w:jc w:val="both"/>
        <w:rPr>
          <w:bCs/>
          <w:iCs/>
          <w:strike/>
          <w:color w:val="FF0000"/>
          <w:sz w:val="24"/>
          <w:szCs w:val="24"/>
        </w:rPr>
      </w:pPr>
      <w:r>
        <w:rPr>
          <w:bCs/>
          <w:iCs/>
          <w:strike/>
          <w:color w:val="FF0000"/>
          <w:sz w:val="24"/>
          <w:szCs w:val="24"/>
        </w:rPr>
      </w:r>
    </w:p>
    <w:p>
      <w:pPr>
        <w:pStyle w:val="Standard"/>
        <w:rPr>
          <w:bCs/>
          <w:iCs/>
          <w:strike/>
          <w:color w:val="FF0000"/>
          <w:sz w:val="24"/>
          <w:szCs w:val="24"/>
        </w:rPr>
      </w:pPr>
      <w:r>
        <w:rPr>
          <w:bCs/>
          <w:iCs/>
          <w:strike/>
          <w:color w:val="FF0000"/>
          <w:sz w:val="24"/>
          <w:szCs w:val="24"/>
        </w:rPr>
      </w:r>
    </w:p>
    <w:p>
      <w:pPr>
        <w:pStyle w:val="Standard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tabs>
          <w:tab w:val="clear" w:pos="708"/>
          <w:tab w:val="left" w:pos="2310" w:leader="none"/>
        </w:tabs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720"/>
      <w:pgNumType w:fmt="decimal"/>
      <w:formProt w:val="false"/>
      <w:titlePg/>
      <w:textDirection w:val="lrTb"/>
      <w:docGrid w:type="default" w:linePitch="10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swiss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91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Heading2"/>
      <w:numFmt w:val="decimal"/>
      <w:lvlText w:val="%2."/>
      <w:lvlJc w:val="left"/>
      <w:pPr>
        <w:tabs>
          <w:tab w:val="num" w:pos="0"/>
        </w:tabs>
        <w:ind w:left="291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%4."/>
      <w:lvlJc w:val="left"/>
      <w:pPr>
        <w:tabs>
          <w:tab w:val="num" w:pos="0"/>
        </w:tabs>
        <w:ind w:left="291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513" w:hanging="360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23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2673" w:hanging="360"/>
      </w:pPr>
      <w:rPr>
        <w:rFonts w:ascii="Times New Roman" w:hAnsi="Times New Roman" w:cs="Times New Roman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39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1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4833" w:hanging="360"/>
      </w:pPr>
      <w:rPr>
        <w:rFonts w:ascii="Times New Roman" w:hAnsi="Times New Roman" w:cs="Times New Roman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0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9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88" w:hanging="420"/>
      </w:pPr>
      <w:rPr>
        <w:sz w:val="26"/>
        <w:i w:val="false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none"/>
      <w:suff w:val="nothing"/>
      <w:lvlText w:val="9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5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Standard"/>
    <w:qFormat/>
    <w:pPr>
      <w:numPr>
        <w:ilvl w:val="0"/>
        <w:numId w:val="0"/>
      </w:numPr>
      <w:ind w:left="2912" w:hanging="360"/>
      <w:outlineLvl w:val="0"/>
    </w:pPr>
    <w:rPr>
      <w:sz w:val="28"/>
      <w:szCs w:val="28"/>
    </w:rPr>
  </w:style>
  <w:style w:type="paragraph" w:styleId="Heading2">
    <w:name w:val="Heading 2"/>
    <w:basedOn w:val="Heading4"/>
    <w:next w:val="Standard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Standard"/>
    <w:next w:val="Standard"/>
    <w:autoRedefine/>
    <w:qFormat/>
    <w:rsid w:val="00aa5eda"/>
    <w:pPr>
      <w:keepNext w:val="true"/>
      <w:numPr>
        <w:ilvl w:val="1"/>
        <w:numId w:val="7"/>
      </w:numPr>
      <w:tabs>
        <w:tab w:val="clear" w:pos="708"/>
        <w:tab w:val="left" w:pos="0" w:leader="none"/>
      </w:tabs>
      <w:ind w:left="0" w:firstLine="28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Standard"/>
    <w:qFormat/>
    <w:pPr>
      <w:numPr>
        <w:ilvl w:val="3"/>
        <w:numId w:val="1"/>
      </w:numPr>
      <w:outlineLvl w:val="3"/>
    </w:pPr>
    <w:rPr>
      <w:bCs/>
    </w:rPr>
  </w:style>
  <w:style w:type="paragraph" w:styleId="Heading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qFormat/>
    <w:pPr>
      <w:keepNext w:val="true"/>
      <w:keepLines/>
      <w:spacing w:before="200" w:after="120"/>
      <w:outlineLvl w:val="5"/>
    </w:pPr>
    <w:rPr>
      <w:rFonts w:ascii="Cambria" w:hAnsi="Cambria" w:eastAsia="Cambria" w:cs="Cambria"/>
      <w:i/>
      <w:iCs/>
      <w:color w:val="243F60"/>
      <w:sz w:val="20"/>
      <w:szCs w:val="20"/>
    </w:rPr>
  </w:style>
  <w:style w:type="paragraph" w:styleId="Heading7">
    <w:name w:val="Heading 7"/>
    <w:basedOn w:val="Standard"/>
    <w:next w:val="Standard"/>
    <w:qFormat/>
    <w:pPr>
      <w:keepNext w:val="true"/>
      <w:keepLines/>
      <w:spacing w:before="200" w:after="120"/>
      <w:outlineLvl w:val="6"/>
    </w:pPr>
    <w:rPr>
      <w:rFonts w:ascii="Cambria" w:hAnsi="Cambria" w:eastAsia="Cambria" w:cs="Cambria"/>
      <w:i/>
      <w:iCs/>
      <w:color w:val="404040"/>
      <w:sz w:val="20"/>
      <w:szCs w:val="20"/>
    </w:rPr>
  </w:style>
  <w:style w:type="paragraph" w:styleId="Heading8">
    <w:name w:val="Heading 8"/>
    <w:basedOn w:val="Standard"/>
    <w:next w:val="Standard"/>
    <w:qFormat/>
    <w:pPr>
      <w:keepNext w:val="true"/>
      <w:keepLines/>
      <w:spacing w:before="200" w:after="120"/>
      <w:outlineLvl w:val="7"/>
    </w:pPr>
    <w:rPr>
      <w:rFonts w:ascii="Cambria" w:hAnsi="Cambria" w:eastAsia="Cambria" w:cs="Cambria"/>
      <w:color w:val="4F81BD"/>
      <w:sz w:val="20"/>
      <w:szCs w:val="20"/>
    </w:rPr>
  </w:style>
  <w:style w:type="paragraph" w:styleId="Heading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Symbol" w:customStyle="1">
    <w:name w:val="Footnote Symbol"/>
    <w:qFormat/>
    <w:rPr>
      <w:vertAlign w:val="superscript"/>
    </w:rPr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 w:customStyle="1">
    <w:name w:val="Strong1"/>
    <w:uiPriority w:val="22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 w:eastAsia="Cambria" w:cs="Cambria"/>
      <w:i/>
      <w:iCs/>
      <w:color w:val="243F60"/>
    </w:rPr>
  </w:style>
  <w:style w:type="character" w:styleId="7" w:customStyle="1">
    <w:name w:val="Заголовок 7 Знак"/>
    <w:qFormat/>
    <w:rPr>
      <w:rFonts w:ascii="Cambria" w:hAnsi="Cambria" w:eastAsia="Cambria" w:cs="Cambria"/>
      <w:i/>
      <w:iCs/>
      <w:color w:val="404040"/>
    </w:rPr>
  </w:style>
  <w:style w:type="character" w:styleId="8" w:customStyle="1">
    <w:name w:val="Заголовок 8 Знак"/>
    <w:qFormat/>
    <w:rPr>
      <w:rFonts w:ascii="Cambria" w:hAnsi="Cambria" w:eastAsia="Cambria" w:cs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eastAsia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</w:rPr>
  </w:style>
  <w:style w:type="character" w:styleId="Style3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1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EndnoteSymbol" w:customStyle="1">
    <w:name w:val="Endnote Symbol"/>
    <w:qFormat/>
    <w:rPr>
      <w:vertAlign w:val="superscript"/>
    </w:rPr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2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Style14" w:customStyle="1">
    <w:name w:val="основной для подзаголовков Знак"/>
    <w:qFormat/>
    <w:rPr>
      <w:b/>
      <w:sz w:val="28"/>
      <w:szCs w:val="28"/>
    </w:rPr>
  </w:style>
  <w:style w:type="character" w:styleId="Tipsy-tooltip" w:customStyle="1">
    <w:name w:val="tipsy-tooltip"/>
    <w:basedOn w:val="DefaultParagraphFont"/>
    <w:qFormat/>
    <w:rPr/>
  </w:style>
  <w:style w:type="character" w:styleId="Style15" w:customStyle="1">
    <w:name w:val="Ссылка указателя"/>
    <w:qFormat/>
    <w:rPr/>
  </w:style>
  <w:style w:type="character" w:styleId="Style16" w:customStyle="1">
    <w:name w:val="Заголовок Знак"/>
    <w:basedOn w:val="DefaultParagraphFont"/>
    <w:uiPriority w:val="10"/>
    <w:qFormat/>
    <w:rsid w:val="00aa5ed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rong2" w:customStyle="1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6"/>
    <w:uiPriority w:val="10"/>
    <w:qFormat/>
    <w:rsid w:val="00aa5eda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14"/>
    <w:qFormat/>
    <w:pPr>
      <w:suppressLineNumbers/>
    </w:pPr>
    <w:rPr>
      <w:b/>
      <w:bCs/>
      <w:sz w:val="32"/>
      <w:szCs w:val="32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4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5" w:customStyle="1">
    <w:name w:val="Указатель1"/>
    <w:basedOn w:val="14"/>
    <w:qFormat/>
    <w:pPr/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111111" w:customStyle="1">
    <w:name w:val="caption1111111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Style19" w:customStyle="1">
    <w:name w:val="Название раздела инструкции"/>
    <w:basedOn w:val="Standard"/>
    <w:autoRedefine/>
    <w:qFormat/>
    <w:pPr>
      <w:jc w:val="center"/>
    </w:pPr>
    <w:rPr>
      <w:b/>
    </w:rPr>
  </w:style>
  <w:style w:type="paragraph" w:styleId="Style20" w:customStyle="1">
    <w:name w:val="Раздел положения"/>
    <w:basedOn w:val="Standard"/>
    <w:autoRedefine/>
    <w:qFormat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Standard"/>
    <w:autoRedefine/>
    <w:qFormat/>
    <w:pPr>
      <w:numPr>
        <w:ilvl w:val="0"/>
        <w:numId w:val="2"/>
      </w:numPr>
      <w:spacing w:before="80" w:after="80"/>
      <w:jc w:val="both"/>
    </w:pPr>
    <w:rPr/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16" w:customStyle="1">
    <w:name w:val="Шапка 1"/>
    <w:basedOn w:val="Standard"/>
    <w:qFormat/>
    <w:pPr>
      <w:pBdr>
        <w:bottom w:val="double" w:sz="12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Standard"/>
    <w:qFormat/>
    <w:pPr>
      <w:pBdr>
        <w:bottom w:val="double" w:sz="12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Standard"/>
    <w:qFormat/>
    <w:pPr>
      <w:pBdr>
        <w:bottom w:val="double" w:sz="12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Standard"/>
    <w:qFormat/>
    <w:pPr>
      <w:jc w:val="center"/>
    </w:pPr>
    <w:rPr>
      <w:szCs w:val="20"/>
    </w:rPr>
  </w:style>
  <w:style w:type="paragraph" w:styleId="Style22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extbodyindent" w:customStyle="1">
    <w:name w:val="Text body indent"/>
    <w:basedOn w:val="Standard"/>
    <w:qFormat/>
    <w:pPr>
      <w:ind w:left="360" w:hanging="0"/>
    </w:pPr>
    <w:rPr>
      <w:sz w:val="24"/>
      <w:szCs w:val="24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Standard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Standard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BlockText">
    <w:name w:val="Block Text"/>
    <w:basedOn w:val="Standard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Standard"/>
    <w:qFormat/>
    <w:pPr>
      <w:tabs>
        <w:tab w:val="clear" w:pos="708"/>
        <w:tab w:val="left" w:pos="2268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Standard"/>
    <w:qFormat/>
    <w:pPr>
      <w:keepNext w:val="true"/>
      <w:tabs>
        <w:tab w:val="clear" w:pos="708"/>
        <w:tab w:val="left" w:pos="2268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Contents1" w:customStyle="1">
    <w:name w:val="Contents 1"/>
    <w:basedOn w:val="Standard"/>
    <w:next w:val="Standard"/>
    <w:autoRedefine/>
    <w:qFormat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Contents3" w:customStyle="1">
    <w:name w:val="Contents 3"/>
    <w:basedOn w:val="Standard"/>
    <w:next w:val="Standard"/>
    <w:autoRedefine/>
    <w:qFormat/>
    <w:rsid w:val="00b233e2"/>
    <w:pPr>
      <w:tabs>
        <w:tab w:val="clear" w:pos="708"/>
        <w:tab w:val="right" w:pos="1400" w:leader="dot"/>
        <w:tab w:val="right" w:pos="10191" w:leader="dot"/>
      </w:tabs>
      <w:ind w:left="280" w:hanging="0"/>
    </w:pPr>
    <w:rPr>
      <w:sz w:val="24"/>
      <w:szCs w:val="24"/>
    </w:rPr>
  </w:style>
  <w:style w:type="paragraph" w:styleId="Style24" w:customStyle="1">
    <w:name w:val="Раздел регламента"/>
    <w:basedOn w:val="Standard"/>
    <w:qFormat/>
    <w:pPr/>
    <w:rPr/>
  </w:style>
  <w:style w:type="paragraph" w:styleId="Style25" w:customStyle="1">
    <w:name w:val="Приложение к регламенту"/>
    <w:basedOn w:val="Standard"/>
    <w:qFormat/>
    <w:pPr>
      <w:jc w:val="right"/>
    </w:pPr>
    <w:rPr/>
  </w:style>
  <w:style w:type="paragraph" w:styleId="Contents2" w:customStyle="1">
    <w:name w:val="Contents 2"/>
    <w:basedOn w:val="Standard"/>
    <w:next w:val="Standard"/>
    <w:autoRedefine/>
    <w:qFormat/>
    <w:pPr>
      <w:tabs>
        <w:tab w:val="clear" w:pos="708"/>
        <w:tab w:val="right" w:pos="9911" w:leader="dot"/>
      </w:tabs>
    </w:pPr>
    <w:rPr>
      <w:rFonts w:cs="Calibri"/>
      <w:b/>
      <w:bCs/>
      <w:sz w:val="20"/>
      <w:szCs w:val="20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Annotationtext">
    <w:name w:val="annotation text"/>
    <w:basedOn w:val="Standard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 w:customStyle="1">
    <w:name w:val="Обычный (веб)1"/>
    <w:basedOn w:val="Standard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Contents9" w:customStyle="1">
    <w:name w:val="Contents 9"/>
    <w:basedOn w:val="Standard"/>
    <w:next w:val="Standard"/>
    <w:autoRedefine/>
    <w:qFormat/>
    <w:pPr>
      <w:ind w:left="1960" w:hanging="0"/>
    </w:pPr>
    <w:rPr>
      <w:rFonts w:ascii="Calibri" w:hAnsi="Calibri" w:eastAsia="Calibri" w:cs="Calibri"/>
      <w:sz w:val="20"/>
      <w:szCs w:val="20"/>
    </w:rPr>
  </w:style>
  <w:style w:type="paragraph" w:styleId="Contents5" w:customStyle="1">
    <w:name w:val="Contents 5"/>
    <w:basedOn w:val="Standard"/>
    <w:next w:val="Standard"/>
    <w:autoRedefine/>
    <w:qFormat/>
    <w:pPr>
      <w:ind w:left="840" w:hanging="0"/>
    </w:pPr>
    <w:rPr>
      <w:rFonts w:ascii="Calibri" w:hAnsi="Calibri" w:eastAsia="Calibri" w:cs="Calibri"/>
      <w:sz w:val="20"/>
      <w:szCs w:val="20"/>
    </w:rPr>
  </w:style>
  <w:style w:type="paragraph" w:styleId="Contents4" w:customStyle="1">
    <w:name w:val="Contents 4"/>
    <w:basedOn w:val="Standard"/>
    <w:next w:val="Standard"/>
    <w:autoRedefine/>
    <w:qFormat/>
    <w:rsid w:val="00b233e2"/>
    <w:pPr>
      <w:tabs>
        <w:tab w:val="clear" w:pos="708"/>
        <w:tab w:val="right" w:pos="1680" w:leader="dot"/>
        <w:tab w:val="right" w:pos="10471" w:leader="dot"/>
      </w:tabs>
      <w:ind w:left="560" w:hanging="0"/>
    </w:pPr>
    <w:rPr>
      <w:iCs/>
      <w:sz w:val="24"/>
      <w:szCs w:val="24"/>
    </w:rPr>
  </w:style>
  <w:style w:type="paragraph" w:styleId="25" w:customStyle="1">
    <w:name w:val="Раздел положения 2"/>
    <w:basedOn w:val="Standard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NoSpacing">
    <w:name w:val="No Spacing"/>
    <w:basedOn w:val="Standard"/>
    <w:qFormat/>
    <w:pPr>
      <w:spacing w:lineRule="auto" w:line="360"/>
    </w:pPr>
    <w:rPr>
      <w:rFonts w:eastAsia="Calibri"/>
      <w:sz w:val="24"/>
      <w:szCs w:val="24"/>
    </w:rPr>
  </w:style>
  <w:style w:type="paragraph" w:styleId="Caption11111111" w:customStyle="1">
    <w:name w:val="caption11111111"/>
    <w:basedOn w:val="Standard"/>
    <w:next w:val="Standard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Standard"/>
    <w:next w:val="Standard"/>
    <w:qFormat/>
    <w:pPr>
      <w:ind w:left="1066" w:firstLine="709"/>
    </w:pPr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Standard"/>
    <w:qFormat/>
    <w:pPr>
      <w:ind w:left="720" w:hanging="0"/>
    </w:pPr>
    <w:rPr>
      <w:rFonts w:eastAsia="Calibri"/>
      <w:sz w:val="24"/>
      <w:szCs w:val="24"/>
    </w:rPr>
  </w:style>
  <w:style w:type="paragraph" w:styleId="Quote">
    <w:name w:val="Quote"/>
    <w:basedOn w:val="Standard"/>
    <w:next w:val="Standard"/>
    <w:qFormat/>
    <w:pPr/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Standard"/>
    <w:next w:val="Standard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ContentsHeading" w:customStyle="1">
    <w:name w:val="Contents Heading"/>
    <w:basedOn w:val="Heading1"/>
    <w:next w:val="Standard"/>
    <w:qFormat/>
    <w:pPr>
      <w:keepLines/>
      <w:spacing w:before="480" w:after="120"/>
      <w:ind w:left="0" w:hanging="0"/>
    </w:pPr>
    <w:rPr>
      <w:rFonts w:ascii="Cambria" w:hAnsi="Cambria" w:eastAsia="Cambria" w:cs="Cambria"/>
      <w:bCs/>
      <w:color w:val="365F91"/>
    </w:rPr>
  </w:style>
  <w:style w:type="paragraph" w:styleId="E-mailSignature">
    <w:name w:val="E-mail Signature"/>
    <w:basedOn w:val="Standard"/>
    <w:qFormat/>
    <w:pPr/>
    <w:rPr>
      <w:rFonts w:eastAsia="Calibri"/>
      <w:sz w:val="24"/>
      <w:szCs w:val="24"/>
    </w:rPr>
  </w:style>
  <w:style w:type="paragraph" w:styleId="Style27" w:customStyle="1">
    <w:name w:val="Знак"/>
    <w:basedOn w:val="Standard"/>
    <w:qFormat/>
    <w:pPr>
      <w:spacing w:lineRule="exact" w:line="240" w:before="0" w:after="160"/>
    </w:pPr>
    <w:rPr>
      <w:rFonts w:ascii="Verdana" w:hAnsi="Verdana" w:eastAsia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Standard"/>
    <w:qFormat/>
    <w:pPr>
      <w:jc w:val="both"/>
    </w:pPr>
    <w:rPr>
      <w:rFonts w:ascii="Garamond" w:hAnsi="Garamond" w:eastAsia="Garamond" w:cs="Garamond"/>
      <w:sz w:val="24"/>
      <w:szCs w:val="20"/>
    </w:rPr>
  </w:style>
  <w:style w:type="paragraph" w:styleId="ListBullet4">
    <w:name w:val="List Bullet 4"/>
    <w:basedOn w:val="Standard"/>
    <w:qFormat/>
    <w:pPr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26" w:customStyle="1">
    <w:name w:val="Нумерованный список ур2"/>
    <w:basedOn w:val="Standard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Style28" w:customStyle="1">
    <w:name w:val="Пункт"/>
    <w:basedOn w:val="Standard"/>
    <w:qFormat/>
    <w:pPr>
      <w:widowControl w:val="false"/>
      <w:tabs>
        <w:tab w:val="clear" w:pos="708"/>
        <w:tab w:val="left" w:pos="2268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Arial" w:cs="Arial"/>
      <w:b/>
      <w:i/>
      <w:szCs w:val="20"/>
    </w:rPr>
  </w:style>
  <w:style w:type="paragraph" w:styleId="19" w:customStyle="1">
    <w:name w:val="Абзац списка1"/>
    <w:basedOn w:val="Standard"/>
    <w:qFormat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Style29" w:customStyle="1">
    <w:name w:val="Таблица"/>
    <w:basedOn w:val="Standard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pPr>
      <w:tabs>
        <w:tab w:val="clear" w:pos="2268"/>
        <w:tab w:val="left" w:pos="10208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p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0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pPr>
      <w:keepLines/>
      <w:tabs>
        <w:tab w:val="left" w:pos="0" w:leader="none"/>
        <w:tab w:val="left" w:pos="1134" w:leader="none"/>
      </w:tabs>
      <w:spacing w:before="480" w:after="240"/>
      <w:ind w:left="567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" w:customStyle="1">
    <w:name w:val="Endnote"/>
    <w:basedOn w:val="Standard"/>
    <w:qFormat/>
    <w:pPr/>
    <w:rPr>
      <w:sz w:val="20"/>
      <w:szCs w:val="20"/>
    </w:rPr>
  </w:style>
  <w:style w:type="paragraph" w:styleId="28" w:customStyle="1">
    <w:name w:val="Заголовок 2 КВВ"/>
    <w:basedOn w:val="Standard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4" w:customStyle="1">
    <w:name w:val="Таблица текст"/>
    <w:basedOn w:val="Standard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Standard"/>
    <w:qFormat/>
    <w:pPr>
      <w:spacing w:before="280" w:after="280"/>
    </w:pPr>
    <w:rPr>
      <w:sz w:val="24"/>
      <w:szCs w:val="24"/>
    </w:rPr>
  </w:style>
  <w:style w:type="paragraph" w:styleId="111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  <w:lang w:eastAsia="en-US"/>
    </w:rPr>
  </w:style>
  <w:style w:type="paragraph" w:styleId="Contents6" w:customStyle="1">
    <w:name w:val="Contents 6"/>
    <w:basedOn w:val="Standard"/>
    <w:next w:val="Standard"/>
    <w:autoRedefine/>
    <w:qFormat/>
    <w:pPr>
      <w:ind w:left="1120" w:hanging="0"/>
    </w:pPr>
    <w:rPr>
      <w:rFonts w:ascii="Calibri" w:hAnsi="Calibri" w:eastAsia="Calibri" w:cs="Calibri"/>
      <w:sz w:val="20"/>
      <w:szCs w:val="20"/>
    </w:rPr>
  </w:style>
  <w:style w:type="paragraph" w:styleId="Contents7" w:customStyle="1">
    <w:name w:val="Contents 7"/>
    <w:basedOn w:val="Standard"/>
    <w:next w:val="Standard"/>
    <w:autoRedefine/>
    <w:qFormat/>
    <w:pPr>
      <w:ind w:left="1400" w:hanging="0"/>
    </w:pPr>
    <w:rPr>
      <w:rFonts w:ascii="Calibri" w:hAnsi="Calibri" w:eastAsia="Calibri" w:cs="Calibri"/>
      <w:sz w:val="20"/>
      <w:szCs w:val="20"/>
    </w:rPr>
  </w:style>
  <w:style w:type="paragraph" w:styleId="Contents8" w:customStyle="1">
    <w:name w:val="Contents 8"/>
    <w:basedOn w:val="Standard"/>
    <w:next w:val="Standard"/>
    <w:autoRedefine/>
    <w:qFormat/>
    <w:pPr>
      <w:ind w:left="1680" w:hanging="0"/>
    </w:pPr>
    <w:rPr>
      <w:rFonts w:ascii="Calibri" w:hAnsi="Calibri" w:eastAsia="Calibri" w:cs="Calibri"/>
      <w:sz w:val="20"/>
      <w:szCs w:val="20"/>
    </w:rPr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5" w:customStyle="1">
    <w:name w:val="основной для подзаголовков"/>
    <w:basedOn w:val="Heading2"/>
    <w:qFormat/>
    <w:pPr>
      <w:numPr>
        <w:ilvl w:val="0"/>
        <w:numId w:val="0"/>
      </w:numPr>
      <w:spacing w:before="240" w:after="120"/>
      <w:ind w:left="0" w:firstLine="284"/>
    </w:pPr>
    <w:rPr>
      <w:rFonts w:eastAsia="Times New Roman"/>
      <w:bCs w:val="false"/>
      <w:sz w:val="28"/>
      <w:szCs w:val="28"/>
    </w:rPr>
  </w:style>
  <w:style w:type="paragraph" w:styleId="Style36" w:customStyle="1">
    <w:name w:val="[РГ] Текст"/>
    <w:basedOn w:val="Standard"/>
    <w:qFormat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7" w:customStyle="1">
    <w:name w:val="Содержимое врезки"/>
    <w:basedOn w:val="Standard"/>
    <w:qFormat/>
    <w:pPr/>
    <w:rPr/>
  </w:style>
  <w:style w:type="paragraph" w:styleId="Style38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TOC1">
    <w:name w:val="TOC 1"/>
    <w:basedOn w:val="15"/>
    <w:pPr/>
    <w:rPr/>
  </w:style>
  <w:style w:type="paragraph" w:styleId="TOC2">
    <w:name w:val="TOC 2"/>
    <w:basedOn w:val="15"/>
    <w:pPr/>
    <w:rPr/>
  </w:style>
  <w:style w:type="paragraph" w:styleId="TOC4">
    <w:name w:val="TOC 4"/>
    <w:basedOn w:val="15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OutlineListStyle7" w:customStyle="1">
    <w:name w:val="WW_OutlineListStyle_7"/>
    <w:qFormat/>
  </w:style>
  <w:style w:type="numbering" w:styleId="WWOutlineListStyle6" w:customStyle="1">
    <w:name w:val="WW_OutlineListStyle_6"/>
    <w:qFormat/>
  </w:style>
  <w:style w:type="numbering" w:styleId="WWOutlineListStyle5" w:customStyle="1">
    <w:name w:val="WW_OutlineListStyle_5"/>
    <w:qFormat/>
  </w:style>
  <w:style w:type="numbering" w:styleId="WWOutlineListStyle4" w:customStyle="1">
    <w:name w:val="WW_OutlineListStyle_4"/>
    <w:qFormat/>
  </w:style>
  <w:style w:type="numbering" w:styleId="WWOutlineListStyle3" w:customStyle="1">
    <w:name w:val="WW_OutlineListStyle_3"/>
    <w:qFormat/>
  </w:style>
  <w:style w:type="numbering" w:styleId="WWOutlineListStyle2" w:customStyle="1">
    <w:name w:val="WW_OutlineListStyle_2"/>
    <w:qFormat/>
  </w:style>
  <w:style w:type="numbering" w:styleId="WWOutlineListStyle1" w:customStyle="1">
    <w:name w:val="WW_OutlineListStyle_1"/>
    <w:qFormat/>
  </w:style>
  <w:style w:type="numbering" w:styleId="WWOutlineListStyle" w:customStyle="1">
    <w:name w:val="WW_OutlineListStyle"/>
    <w:qFormat/>
  </w:style>
  <w:style w:type="numbering" w:styleId="112" w:customStyle="1">
    <w:name w:val="Стиль1"/>
    <w:qFormat/>
  </w:style>
  <w:style w:type="numbering" w:styleId="29" w:customStyle="1">
    <w:name w:val="Стиль2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5504-5DC7-4CFC-882B-F11734E9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2932</TotalTime>
  <Application>AlterOffice/3.4.0.9$Linux_X86_64 LibreOffice_project/b8daf9e823b1a5463a2f48435ddc2e8696e7d4fc</Application>
  <AppVersion>15.0000</AppVersion>
  <Pages>18</Pages>
  <Words>2851</Words>
  <Characters>19045</Characters>
  <CharactersWithSpaces>21475</CharactersWithSpaces>
  <Paragraphs>429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2025-06-17T03:20:00Z</dcterms:created>
  <dc:creator>Быстров Олег Геннадьевич</dc:creator>
  <dc:description/>
  <dc:language>ru-RU</dc:language>
  <cp:lastModifiedBy>gritskikhea@corp.gidroogk.com</cp:lastModifiedBy>
  <cp:lastPrinted>2026-03-29T03:23:00Z</cp:lastPrinted>
  <dcterms:modified xsi:type="dcterms:W3CDTF">2026-06-29T14:32:05Z</dcterms:modified>
  <cp:revision>114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