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numPr>
          <w:ilvl w:val="0"/>
          <w:numId w:val="0"/>
        </w:numPr>
        <w:suppressAutoHyphens w:val="true"/>
        <w:ind w:left="0" w:right="0" w:hanging="0"/>
        <w:jc w:val="right"/>
        <w:outlineLvl w:val="0"/>
        <w:rPr>
          <w:bCs/>
          <w:kern w:val="2"/>
        </w:rPr>
      </w:pPr>
      <w:bookmarkStart w:id="0" w:name="_Toc124494787"/>
      <w:bookmarkStart w:id="1" w:name="_Toc124492399"/>
      <w:bookmarkStart w:id="2" w:name="_Toc124489673"/>
      <w:r>
        <w:rPr>
          <w:b/>
          <w:bCs/>
          <w:kern w:val="2"/>
        </w:rPr>
        <w:t>«Утверждаю»</w:t>
      </w:r>
      <w:bookmarkEnd w:id="0"/>
      <w:bookmarkEnd w:id="1"/>
      <w:bookmarkEnd w:id="2"/>
    </w:p>
    <w:p>
      <w:pPr>
        <w:pStyle w:val="Normal"/>
        <w:numPr>
          <w:ilvl w:val="0"/>
          <w:numId w:val="0"/>
        </w:numPr>
        <w:suppressAutoHyphens w:val="true"/>
        <w:ind w:left="0" w:right="0" w:hanging="0"/>
        <w:jc w:val="right"/>
        <w:outlineLvl w:val="0"/>
        <w:rPr>
          <w:bCs/>
          <w:kern w:val="2"/>
        </w:rPr>
      </w:pPr>
      <w:r>
        <w:rPr>
          <w:bCs/>
          <w:kern w:val="2"/>
          <w:sz w:val="24"/>
        </w:rPr>
        <w:t xml:space="preserve">Первый заместитель Генерального директора – </w:t>
      </w:r>
    </w:p>
    <w:p>
      <w:pPr>
        <w:pStyle w:val="Normal"/>
        <w:keepNext w:val="true"/>
        <w:keepLines/>
        <w:numPr>
          <w:ilvl w:val="0"/>
          <w:numId w:val="0"/>
        </w:numPr>
        <w:suppressAutoHyphens w:val="true"/>
        <w:ind w:left="0" w:right="0" w:hanging="0"/>
        <w:jc w:val="right"/>
        <w:outlineLvl w:val="0"/>
        <w:rPr>
          <w:bCs/>
          <w:kern w:val="2"/>
          <w:sz w:val="24"/>
        </w:rPr>
      </w:pPr>
      <w:r>
        <w:rPr>
          <w:bCs/>
          <w:kern w:val="2"/>
          <w:sz w:val="24"/>
        </w:rPr>
        <w:t>главный инженер</w:t>
      </w:r>
    </w:p>
    <w:p>
      <w:pPr>
        <w:pStyle w:val="Normal"/>
        <w:keepNext w:val="true"/>
        <w:keepLines/>
        <w:numPr>
          <w:ilvl w:val="0"/>
          <w:numId w:val="0"/>
        </w:numPr>
        <w:suppressAutoHyphens w:val="true"/>
        <w:ind w:left="0" w:right="0" w:hanging="0"/>
        <w:jc w:val="right"/>
        <w:outlineLvl w:val="0"/>
        <w:rPr>
          <w:bCs/>
          <w:kern w:val="2"/>
          <w:sz w:val="24"/>
        </w:rPr>
      </w:pPr>
      <w:r>
        <w:rPr>
          <w:bCs/>
          <w:kern w:val="2"/>
          <w:sz w:val="24"/>
        </w:rPr>
        <w:t>АО «Сахаэнерго»</w:t>
      </w:r>
    </w:p>
    <w:p>
      <w:pPr>
        <w:pStyle w:val="Normal"/>
        <w:keepNext w:val="true"/>
        <w:keepLines/>
        <w:numPr>
          <w:ilvl w:val="0"/>
          <w:numId w:val="0"/>
        </w:numPr>
        <w:suppressAutoHyphens w:val="true"/>
        <w:ind w:left="0" w:right="0" w:hanging="0"/>
        <w:jc w:val="right"/>
        <w:outlineLvl w:val="0"/>
        <w:rPr>
          <w:bCs/>
          <w:kern w:val="2"/>
          <w:sz w:val="24"/>
        </w:rPr>
      </w:pPr>
      <w:r>
        <w:rPr>
          <w:bCs/>
          <w:kern w:val="2"/>
          <w:sz w:val="24"/>
        </w:rPr>
      </w:r>
    </w:p>
    <w:p>
      <w:pPr>
        <w:pStyle w:val="Normal"/>
        <w:keepNext w:val="true"/>
        <w:keepLines/>
        <w:numPr>
          <w:ilvl w:val="0"/>
          <w:numId w:val="0"/>
        </w:numPr>
        <w:suppressAutoHyphens w:val="true"/>
        <w:ind w:left="0" w:right="0" w:hanging="0"/>
        <w:jc w:val="right"/>
        <w:outlineLvl w:val="0"/>
        <w:rPr>
          <w:bCs/>
          <w:kern w:val="2"/>
          <w:sz w:val="24"/>
        </w:rPr>
      </w:pPr>
      <w:r>
        <w:rPr>
          <w:bCs/>
          <w:kern w:val="2"/>
          <w:sz w:val="24"/>
        </w:rPr>
        <w:t>______</w:t>
      </w:r>
      <w:bookmarkStart w:id="3" w:name="_Toc124494788"/>
      <w:bookmarkStart w:id="4" w:name="_Toc124492400"/>
      <w:bookmarkStart w:id="5" w:name="_Toc124489674"/>
      <w:r>
        <w:rPr>
          <w:bCs/>
          <w:kern w:val="2"/>
          <w:sz w:val="24"/>
        </w:rPr>
        <w:t>____________Н.М. Копырин</w:t>
      </w:r>
      <w:bookmarkEnd w:id="3"/>
      <w:bookmarkEnd w:id="4"/>
      <w:bookmarkEnd w:id="5"/>
    </w:p>
    <w:p>
      <w:pPr>
        <w:pStyle w:val="Normal"/>
        <w:keepNext w:val="true"/>
        <w:keepLines/>
        <w:numPr>
          <w:ilvl w:val="0"/>
          <w:numId w:val="0"/>
        </w:numPr>
        <w:suppressAutoHyphens w:val="true"/>
        <w:ind w:left="0" w:right="0" w:hanging="0"/>
        <w:jc w:val="right"/>
        <w:outlineLvl w:val="0"/>
        <w:rPr>
          <w:bCs/>
          <w:kern w:val="2"/>
          <w:sz w:val="24"/>
        </w:rPr>
      </w:pPr>
      <w:r>
        <w:rPr>
          <w:bCs/>
          <w:kern w:val="2"/>
          <w:sz w:val="24"/>
        </w:rPr>
      </w:r>
    </w:p>
    <w:p>
      <w:pPr>
        <w:pStyle w:val="Normal"/>
        <w:numPr>
          <w:ilvl w:val="0"/>
          <w:numId w:val="0"/>
        </w:numPr>
        <w:suppressAutoHyphens w:val="true"/>
        <w:ind w:left="0" w:right="0" w:hanging="0"/>
        <w:jc w:val="right"/>
        <w:outlineLvl w:val="0"/>
        <w:rPr>
          <w:bCs/>
          <w:kern w:val="2"/>
          <w:sz w:val="24"/>
        </w:rPr>
      </w:pPr>
      <w:bookmarkStart w:id="6" w:name="_Toc124494791"/>
      <w:bookmarkStart w:id="7" w:name="_Toc124489677"/>
      <w:bookmarkStart w:id="8" w:name="_Toc124492403"/>
      <w:r>
        <w:rPr>
          <w:bCs/>
          <w:kern w:val="2"/>
          <w:sz w:val="24"/>
        </w:rPr>
        <w:t>«____»___________________2026 г.</w:t>
      </w:r>
      <w:bookmarkEnd w:id="6"/>
      <w:bookmarkEnd w:id="7"/>
      <w:bookmarkEnd w:id="8"/>
    </w:p>
    <w:p>
      <w:pPr>
        <w:pStyle w:val="Normal"/>
        <w:keepNext w:val="true"/>
        <w:keepLines/>
        <w:jc w:val="right"/>
        <w:rPr>
          <w:bCs/>
          <w:kern w:val="2"/>
          <w:sz w:val="24"/>
        </w:rPr>
      </w:pPr>
      <w:r>
        <w:rPr>
          <w:bCs/>
          <w:kern w:val="2"/>
          <w:sz w:val="24"/>
        </w:rPr>
      </w:r>
    </w:p>
    <w:p>
      <w:pPr>
        <w:pStyle w:val="Normal"/>
        <w:keepNext w:val="true"/>
        <w:keepLines/>
        <w:numPr>
          <w:ilvl w:val="0"/>
          <w:numId w:val="0"/>
        </w:numPr>
        <w:suppressAutoHyphens w:val="true"/>
        <w:ind w:left="0" w:hanging="0"/>
        <w:jc w:val="right"/>
        <w:outlineLvl w:val="0"/>
        <w:rPr>
          <w:bCs/>
          <w:kern w:val="2"/>
          <w:sz w:val="24"/>
        </w:rPr>
      </w:pPr>
      <w:r>
        <w:rPr>
          <w:bCs/>
          <w:kern w:val="2"/>
          <w:sz w:val="24"/>
        </w:rPr>
      </w:r>
    </w:p>
    <w:p>
      <w:pPr>
        <w:pStyle w:val="Normal"/>
        <w:numPr>
          <w:ilvl w:val="0"/>
          <w:numId w:val="0"/>
        </w:numPr>
        <w:suppressAutoHyphens w:val="true"/>
        <w:ind w:left="0" w:hanging="0"/>
        <w:jc w:val="right"/>
        <w:outlineLvl w:val="0"/>
        <w:rPr>
          <w:bCs/>
          <w:kern w:val="2"/>
          <w:sz w:val="24"/>
        </w:rPr>
      </w:pPr>
      <w:r>
        <w:rPr>
          <w:bCs/>
          <w:kern w:val="2"/>
          <w:sz w:val="24"/>
        </w:rPr>
      </w:r>
    </w:p>
    <w:p>
      <w:pPr>
        <w:pStyle w:val="Normal"/>
        <w:numPr>
          <w:ilvl w:val="0"/>
          <w:numId w:val="0"/>
        </w:numPr>
        <w:suppressAutoHyphens w:val="true"/>
        <w:ind w:left="0" w:hanging="0"/>
        <w:jc w:val="right"/>
        <w:outlineLvl w:val="0"/>
        <w:rPr>
          <w:bCs/>
          <w:kern w:val="2"/>
          <w:sz w:val="24"/>
        </w:rPr>
      </w:pPr>
      <w:r>
        <w:rPr>
          <w:bCs/>
          <w:kern w:val="2"/>
          <w:sz w:val="24"/>
        </w:rPr>
      </w:r>
    </w:p>
    <w:p>
      <w:pPr>
        <w:pStyle w:val="Normal"/>
        <w:numPr>
          <w:ilvl w:val="0"/>
          <w:numId w:val="0"/>
        </w:numPr>
        <w:suppressAutoHyphens w:val="true"/>
        <w:ind w:left="0" w:hanging="0"/>
        <w:jc w:val="right"/>
        <w:outlineLvl w:val="0"/>
        <w:rPr>
          <w:bCs/>
          <w:kern w:val="2"/>
          <w:sz w:val="24"/>
        </w:rPr>
      </w:pPr>
      <w:r>
        <w:rPr>
          <w:bCs/>
          <w:kern w:val="2"/>
          <w:sz w:val="24"/>
        </w:rPr>
      </w:r>
    </w:p>
    <w:p>
      <w:pPr>
        <w:pStyle w:val="Normal"/>
        <w:numPr>
          <w:ilvl w:val="0"/>
          <w:numId w:val="0"/>
        </w:numPr>
        <w:suppressAutoHyphens w:val="true"/>
        <w:ind w:left="0" w:hanging="0"/>
        <w:jc w:val="right"/>
        <w:outlineLvl w:val="0"/>
        <w:rPr>
          <w:bCs/>
          <w:kern w:val="2"/>
          <w:sz w:val="24"/>
        </w:rPr>
      </w:pPr>
      <w:r>
        <w:rPr>
          <w:bCs/>
          <w:kern w:val="2"/>
          <w:sz w:val="24"/>
        </w:rPr>
      </w:r>
    </w:p>
    <w:p>
      <w:pPr>
        <w:pStyle w:val="Normal"/>
        <w:numPr>
          <w:ilvl w:val="0"/>
          <w:numId w:val="0"/>
        </w:numPr>
        <w:suppressAutoHyphens w:val="true"/>
        <w:ind w:left="0" w:hanging="0"/>
        <w:jc w:val="right"/>
        <w:outlineLvl w:val="0"/>
        <w:rPr>
          <w:bCs/>
          <w:kern w:val="2"/>
          <w:sz w:val="24"/>
        </w:rPr>
      </w:pPr>
      <w:r>
        <w:rPr>
          <w:bCs/>
          <w:kern w:val="2"/>
          <w:sz w:val="24"/>
        </w:rPr>
      </w:r>
    </w:p>
    <w:p>
      <w:pPr>
        <w:pStyle w:val="Normal"/>
        <w:numPr>
          <w:ilvl w:val="0"/>
          <w:numId w:val="0"/>
        </w:numPr>
        <w:suppressAutoHyphens w:val="true"/>
        <w:ind w:left="0" w:hanging="0"/>
        <w:jc w:val="right"/>
        <w:outlineLvl w:val="0"/>
        <w:rPr>
          <w:bCs/>
          <w:kern w:val="2"/>
          <w:sz w:val="24"/>
        </w:rPr>
      </w:pPr>
      <w:r>
        <w:rPr>
          <w:bCs/>
          <w:kern w:val="2"/>
          <w:sz w:val="24"/>
        </w:rPr>
      </w:r>
    </w:p>
    <w:p>
      <w:pPr>
        <w:pStyle w:val="Normal"/>
        <w:numPr>
          <w:ilvl w:val="0"/>
          <w:numId w:val="0"/>
        </w:numPr>
        <w:suppressAutoHyphens w:val="true"/>
        <w:ind w:left="0" w:hanging="0"/>
        <w:jc w:val="right"/>
        <w:outlineLvl w:val="0"/>
        <w:rPr>
          <w:bCs/>
          <w:kern w:val="2"/>
          <w:sz w:val="24"/>
        </w:rPr>
      </w:pPr>
      <w:r>
        <w:rPr>
          <w:bCs/>
          <w:kern w:val="2"/>
          <w:sz w:val="24"/>
        </w:rPr>
      </w:r>
    </w:p>
    <w:p>
      <w:pPr>
        <w:pStyle w:val="Normal"/>
        <w:numPr>
          <w:ilvl w:val="0"/>
          <w:numId w:val="0"/>
        </w:numPr>
        <w:suppressAutoHyphens w:val="true"/>
        <w:ind w:left="0" w:hanging="0"/>
        <w:jc w:val="right"/>
        <w:outlineLvl w:val="0"/>
        <w:rPr>
          <w:bCs/>
          <w:kern w:val="2"/>
          <w:sz w:val="24"/>
        </w:rPr>
      </w:pPr>
      <w:r>
        <w:rPr>
          <w:bCs/>
          <w:kern w:val="2"/>
          <w:sz w:val="24"/>
        </w:rPr>
      </w:r>
    </w:p>
    <w:p>
      <w:pPr>
        <w:pStyle w:val="Normal"/>
        <w:numPr>
          <w:ilvl w:val="0"/>
          <w:numId w:val="0"/>
        </w:numPr>
        <w:suppressAutoHyphens w:val="true"/>
        <w:ind w:left="0" w:hanging="0"/>
        <w:jc w:val="right"/>
        <w:outlineLvl w:val="0"/>
        <w:rPr>
          <w:bCs/>
          <w:kern w:val="2"/>
          <w:sz w:val="24"/>
        </w:rPr>
      </w:pPr>
      <w:r>
        <w:rPr>
          <w:bCs/>
          <w:kern w:val="2"/>
          <w:sz w:val="24"/>
        </w:rPr>
      </w:r>
    </w:p>
    <w:p>
      <w:pPr>
        <w:pStyle w:val="Normal"/>
        <w:numPr>
          <w:ilvl w:val="0"/>
          <w:numId w:val="0"/>
        </w:numPr>
        <w:suppressAutoHyphens w:val="true"/>
        <w:ind w:left="0" w:hanging="0"/>
        <w:jc w:val="right"/>
        <w:outlineLvl w:val="0"/>
        <w:rPr>
          <w:bCs/>
          <w:kern w:val="2"/>
          <w:sz w:val="24"/>
        </w:rPr>
      </w:pPr>
      <w:r>
        <w:rPr>
          <w:bCs/>
          <w:kern w:val="2"/>
          <w:sz w:val="24"/>
        </w:rPr>
      </w:r>
    </w:p>
    <w:p>
      <w:pPr>
        <w:pStyle w:val="Normal"/>
        <w:numPr>
          <w:ilvl w:val="0"/>
          <w:numId w:val="0"/>
        </w:numPr>
        <w:suppressAutoHyphens w:val="true"/>
        <w:ind w:left="0" w:hanging="0"/>
        <w:jc w:val="right"/>
        <w:outlineLvl w:val="0"/>
        <w:rPr>
          <w:bCs/>
          <w:kern w:val="2"/>
          <w:sz w:val="24"/>
        </w:rPr>
      </w:pPr>
      <w:r>
        <w:rPr>
          <w:bCs/>
          <w:kern w:val="2"/>
          <w:sz w:val="24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</w:t>
      </w:r>
    </w:p>
    <w:p>
      <w:pPr>
        <w:pStyle w:val="Normal"/>
        <w:keepNext w:val="true"/>
        <w:keepLines/>
        <w:spacing w:lineRule="auto" w:line="276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на выполнение проектн</w:t>
      </w:r>
      <w:r>
        <w:rPr>
          <w:rFonts w:eastAsia="Calibri"/>
          <w:b/>
          <w:sz w:val="24"/>
          <w:szCs w:val="24"/>
        </w:rPr>
        <w:t>ы</w:t>
      </w:r>
      <w:r>
        <w:rPr>
          <w:rFonts w:eastAsia="Calibri"/>
          <w:b/>
          <w:sz w:val="24"/>
          <w:szCs w:val="24"/>
        </w:rPr>
        <w:t>х работ:</w:t>
      </w:r>
    </w:p>
    <w:p>
      <w:pPr>
        <w:sectPr>
          <w:type w:val="nextPage"/>
          <w:pgSz w:w="11906" w:h="16838"/>
          <w:pgMar w:left="1134" w:right="851" w:gutter="0" w:header="0" w:top="1134" w:footer="0" w:bottom="709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76"/>
        <w:jc w:val="center"/>
        <w:rPr/>
      </w:pPr>
      <w:r>
        <w:rPr>
          <w:rFonts w:eastAsia="Calibri"/>
          <w:b/>
          <w:bCs/>
          <w:sz w:val="24"/>
          <w:szCs w:val="24"/>
        </w:rPr>
        <w:t>«</w:t>
      </w:r>
      <w:r>
        <w:rPr>
          <w:rStyle w:val="Style8"/>
          <w:rFonts w:eastAsia="Calibri" w:cs="Times New Roman"/>
          <w:b/>
          <w:bCs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x-none" w:bidi="ar-SA"/>
        </w:rPr>
        <w:t>Техническое перевооружение сети газопотребления ГДЭС с. Люксюгюн Кобяйских ЭС АО «Сахаэнерго</w:t>
      </w:r>
      <w:r>
        <w:rPr>
          <w:rFonts w:eastAsia="Calibri"/>
          <w:b/>
          <w:bCs/>
          <w:sz w:val="24"/>
          <w:szCs w:val="24"/>
        </w:rPr>
        <w:t>»</w:t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instrText xml:space="preserve"> TOC \z \o "1-4" \u \h</w:instrText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fldChar w:fldCharType="separate"/>
          </w:r>
          <w:r>
            <w:rPr>
              <w:rFonts w:eastAsia="" w:cs="" w:cstheme="minorBidi" w:eastAsiaTheme="minorEastAsia" w:ascii="Calibri" w:hAnsi="Calibri"/>
              <w:b w:val="false"/>
              <w:bCs w:val="false"/>
              <w:sz w:val="22"/>
              <w:szCs w:val="22"/>
            </w:rPr>
          </w:r>
        </w:p>
        <w:p>
          <w:pPr>
            <w:pStyle w:val="TOC1"/>
            <w:tabs>
              <w:tab w:val="left" w:pos="567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4494792">
            <w:r>
              <w:rPr>
                <w:webHidden/>
                <w:rStyle w:val="Style15"/>
                <w:vanish w:val="false"/>
              </w:rPr>
              <w:t>1.</w:t>
            </w:r>
            <w:r>
              <w:rPr>
                <w:rStyle w:val="Style15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5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_Toc124494792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4494793">
            <w:r>
              <w:rPr>
                <w:webHidden/>
                <w:rStyle w:val="Style15"/>
                <w:iCs/>
                <w:vanish w:val="false"/>
              </w:rPr>
              <w:t>1.1.</w:t>
            </w:r>
            <w:r>
              <w:rPr>
                <w:rStyle w:val="Style15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5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_Toc124494793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4494794">
            <w:r>
              <w:rPr>
                <w:webHidden/>
                <w:rStyle w:val="Style15"/>
                <w:iCs/>
                <w:vanish w:val="false"/>
              </w:rPr>
              <w:t>1.2.</w:t>
            </w:r>
            <w:r>
              <w:rPr>
                <w:rStyle w:val="Style15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5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_Toc124494794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4494795">
            <w:r>
              <w:rPr>
                <w:webHidden/>
                <w:rStyle w:val="Style15"/>
                <w:iCs/>
                <w:vanish w:val="false"/>
              </w:rPr>
              <w:t>1.3.</w:t>
            </w:r>
            <w:r>
              <w:rPr>
                <w:rStyle w:val="Style15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5"/>
              </w:rPr>
              <w:t>Цель выполнения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_Toc124494795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4494796">
            <w:r>
              <w:rPr>
                <w:webHidden/>
                <w:rStyle w:val="Style15"/>
                <w:iCs/>
                <w:vanish w:val="false"/>
              </w:rPr>
              <w:t>1.4.</w:t>
            </w:r>
            <w:r>
              <w:rPr>
                <w:rStyle w:val="Style15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5"/>
              </w:rPr>
              <w:t>Существующее положение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_Toc124494796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4494797">
            <w:r>
              <w:rPr>
                <w:webHidden/>
                <w:rStyle w:val="Style15"/>
                <w:vanish w:val="false"/>
              </w:rPr>
              <w:t>Таблица 1. Перечень объектов заказчика</w:t>
              <w:tab/>
            </w:r>
          </w:hyperlink>
          <w:r>
            <w:rPr>
              <w:rFonts w:eastAsia="" w:cs="" w:ascii="Calibri" w:hAnsi="Calibri" w:asciiTheme="minorHAnsi" w:cstheme="minorBidi" w:eastAsiaTheme="minorEastAsia" w:hAnsiTheme="minorHAnsi"/>
              <w:b w:val="false"/>
              <w:bCs w:val="false"/>
              <w:vanish w:val="false"/>
              <w:sz w:val="22"/>
              <w:szCs w:val="22"/>
            </w:rPr>
            <w:t>5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r>
            <w:rPr>
              <w:rFonts w:eastAsia="" w:cs="" w:cstheme="minorBidi" w:eastAsiaTheme="minorEastAsia" w:ascii="Calibri" w:hAnsi="Calibri"/>
              <w:sz w:val="22"/>
              <w:szCs w:val="22"/>
            </w:rPr>
          </w:r>
        </w:p>
        <w:p>
          <w:pPr>
            <w:pStyle w:val="TOC1"/>
            <w:tabs>
              <w:tab w:val="left" w:pos="567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4494799">
            <w:r>
              <w:rPr>
                <w:webHidden/>
                <w:rStyle w:val="Style15"/>
                <w:vanish w:val="false"/>
              </w:rPr>
              <w:t>2.</w:t>
            </w:r>
            <w:r>
              <w:rPr>
                <w:rStyle w:val="Style15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5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_Toc124494799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4494800">
            <w:r>
              <w:rPr>
                <w:webHidden/>
                <w:rStyle w:val="Style15"/>
                <w:iCs/>
                <w:vanish w:val="false"/>
              </w:rPr>
              <w:t>2.1.</w:t>
            </w:r>
            <w:r>
              <w:rPr>
                <w:rStyle w:val="Style15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5"/>
              </w:rPr>
              <w:t>Требования к объемам выполнения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_Toc124494800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4494801">
            <w:r>
              <w:rPr>
                <w:webHidden/>
                <w:rStyle w:val="Style15"/>
                <w:vanish w:val="false"/>
              </w:rPr>
              <w:t>2.1.1.</w:t>
            </w:r>
            <w:r>
              <w:rPr>
                <w:rStyle w:val="Style15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5"/>
              </w:rPr>
              <w:t>Требования к видам и объемам работ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_Toc124494801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4494802">
            <w:r>
              <w:rPr>
                <w:webHidden/>
                <w:rStyle w:val="Style15"/>
                <w:vanish w:val="false"/>
              </w:rPr>
              <w:t>Таблица 2. Перечень и объем выполняемых работ</w:t>
              <w:tab/>
            </w:r>
          </w:hyperlink>
          <w:r>
            <w:rPr>
              <w:vanish w:val="false"/>
            </w:rPr>
            <w:t>6</w:t>
          </w:r>
        </w:p>
        <w:p>
          <w:pPr>
            <w:pStyle w:val="TOC3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4494803">
            <w:r>
              <w:rPr>
                <w:webHidden/>
                <w:rStyle w:val="Style15"/>
                <w:vanish w:val="false"/>
              </w:rPr>
              <w:t>2.2.</w:t>
            </w:r>
            <w:r>
              <w:rPr>
                <w:rStyle w:val="Style15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5"/>
              </w:rPr>
              <w:t>Требования к срокам выполнения работ</w:t>
            </w:r>
            <w:r>
              <w:rPr>
                <w:rStyle w:val="Style15"/>
                <w:vanish w:val="false"/>
              </w:rPr>
              <w:tab/>
            </w:r>
          </w:hyperlink>
          <w:r>
            <w:rPr>
              <w:vanish w:val="false"/>
            </w:rPr>
            <w:t>7</w:t>
          </w:r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4494804">
            <w:r>
              <w:rPr>
                <w:webHidden/>
                <w:rStyle w:val="Style15"/>
                <w:vanish w:val="false"/>
              </w:rPr>
              <w:t>Таблица 3. Требования по срокам выполнения работ</w:t>
              <w:tab/>
            </w:r>
          </w:hyperlink>
          <w:r>
            <w:rPr>
              <w:rFonts w:eastAsia="" w:cs="" w:ascii="Calibri" w:hAnsi="Calibri" w:asciiTheme="minorHAnsi" w:cstheme="minorBidi" w:eastAsiaTheme="minorEastAsia" w:hAnsiTheme="minorHAnsi"/>
              <w:b w:val="false"/>
              <w:bCs w:val="false"/>
              <w:vanish w:val="false"/>
              <w:sz w:val="22"/>
              <w:szCs w:val="22"/>
            </w:rPr>
            <w:t>7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24494805">
            <w:r>
              <w:rPr>
                <w:webHidden/>
                <w:rStyle w:val="Style15"/>
                <w:iCs/>
                <w:vanish w:val="false"/>
              </w:rPr>
              <w:t>2.3.</w:t>
            </w:r>
            <w:r>
              <w:rPr>
                <w:rStyle w:val="Style15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5"/>
              </w:rPr>
              <w:t>Требования к качеству работ</w:t>
            </w:r>
            <w:r>
              <w:rPr>
                <w:rStyle w:val="Style15"/>
                <w:vanish w:val="false"/>
              </w:rPr>
              <w:tab/>
            </w:r>
          </w:hyperlink>
          <w:r>
            <w:rPr>
              <w:vanish w:val="false"/>
            </w:rPr>
            <w:t>8</w:t>
          </w:r>
        </w:p>
        <w:p>
          <w:pPr>
            <w:pStyle w:val="TOC1"/>
            <w:jc w:val="both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24494806">
            <w:r>
              <w:rPr>
                <w:webHidden/>
                <w:rStyle w:val="Style15"/>
                <w:vanish w:val="false"/>
              </w:rPr>
              <w:t>Таблица 4. Требования к качеству работ.</w:t>
              <w:tab/>
            </w:r>
          </w:hyperlink>
          <w:r>
            <w:rPr>
              <w:rFonts w:eastAsia="" w:cs="" w:ascii="Calibri" w:hAnsi="Calibri" w:asciiTheme="minorHAnsi" w:cstheme="minorBidi" w:eastAsiaTheme="minorEastAsia" w:hAnsiTheme="minorHAnsi"/>
              <w:b w:val="false"/>
              <w:bCs w:val="false"/>
              <w:vanish w:val="false"/>
              <w:sz w:val="22"/>
              <w:szCs w:val="22"/>
            </w:rPr>
            <w:t>8</w:t>
          </w:r>
        </w:p>
        <w:p>
          <w:pPr>
            <w:pStyle w:val="TOC3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r>
            <w:rPr>
              <w:vanish w:val="false"/>
            </w:rPr>
            <w:t>2.4. Т</w:t>
          </w:r>
          <w:hyperlink w:anchor="_Toc124494807">
            <w:r>
              <w:rPr>
                <w:webHidden/>
                <w:rStyle w:val="Style15"/>
                <w:vanish w:val="false"/>
              </w:rPr>
              <w:t>ребования к Участнику закупочной процедуры в части ценообразования</w:t>
              <w:tab/>
            </w:r>
          </w:hyperlink>
          <w:r>
            <w:rPr>
              <w:vanish w:val="false"/>
            </w:rPr>
            <w:t>43</w:t>
          </w:r>
          <w:r>
            <w:rPr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9" w:name="_Toc51339692"/>
      <w:bookmarkStart w:id="10" w:name="_Toc124494792"/>
      <w:r>
        <w:rPr>
          <w:lang w:val="ru-RU"/>
        </w:rPr>
        <w:t>Общие сведения</w:t>
      </w:r>
      <w:bookmarkEnd w:id="9"/>
      <w:bookmarkEnd w:id="10"/>
    </w:p>
    <w:p>
      <w:pPr>
        <w:pStyle w:val="Heading4"/>
        <w:numPr>
          <w:ilvl w:val="1"/>
          <w:numId w:val="3"/>
        </w:numPr>
        <w:rPr/>
      </w:pPr>
      <w:bookmarkStart w:id="11" w:name="_Toc46743505"/>
      <w:bookmarkStart w:id="12" w:name="_Toc124494793"/>
      <w:r>
        <w:rPr/>
        <w:t>Обозначения и сокращения</w:t>
      </w:r>
      <w:bookmarkEnd w:id="11"/>
      <w:bookmarkEnd w:id="12"/>
    </w:p>
    <w:p>
      <w:pPr>
        <w:pStyle w:val="Normal"/>
        <w:rPr>
          <w:rStyle w:val="Style8"/>
          <w:b w:val="false"/>
          <w:bCs/>
          <w:i w:val="false"/>
          <w:i w:val="false"/>
          <w:iCs/>
          <w:sz w:val="26"/>
          <w:szCs w:val="26"/>
        </w:rPr>
      </w:pPr>
      <w:r>
        <w:rPr>
          <w:b w:val="false"/>
          <w:bCs/>
          <w:i w:val="false"/>
          <w:iCs/>
          <w:sz w:val="26"/>
          <w:szCs w:val="26"/>
        </w:rPr>
      </w:r>
    </w:p>
    <w:tbl>
      <w:tblPr>
        <w:tblW w:w="975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59"/>
        <w:gridCol w:w="7997"/>
      </w:tblGrid>
      <w:tr>
        <w:trPr>
          <w:cantSplit w:val="true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ГДЭС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газодизельная электростанция</w:t>
            </w:r>
          </w:p>
        </w:tc>
      </w:tr>
      <w:tr>
        <w:trPr>
          <w:cantSplit w:val="true"/>
        </w:trPr>
        <w:tc>
          <w:tcPr>
            <w:tcW w:w="17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ОТР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основные технические решения</w:t>
            </w:r>
          </w:p>
        </w:tc>
      </w:tr>
      <w:tr>
        <w:trPr>
          <w:cantSplit w:val="true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рабочая документация</w:t>
            </w:r>
          </w:p>
        </w:tc>
      </w:tr>
      <w:tr>
        <w:trPr>
          <w:cantSplit w:val="true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проектная документация</w:t>
            </w:r>
          </w:p>
        </w:tc>
      </w:tr>
      <w:tr>
        <w:trPr>
          <w:cantSplit w:val="true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ПСД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проектно-сметная документация</w:t>
            </w:r>
          </w:p>
        </w:tc>
      </w:tr>
      <w:tr>
        <w:trPr>
          <w:cantSplit w:val="true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СМР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строительно-монтажные работы</w:t>
            </w:r>
          </w:p>
        </w:tc>
      </w:tr>
      <w:tr>
        <w:trPr>
          <w:cantSplit w:val="true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rStyle w:val="Style8"/>
                <w:b w:val="false"/>
                <w:iCs/>
                <w:sz w:val="24"/>
                <w:szCs w:val="24"/>
                <w:shd w:fill="auto" w:val="clear"/>
              </w:rPr>
            </w:pPr>
            <w:r>
              <w:rPr>
                <w:iCs/>
                <w:sz w:val="24"/>
                <w:szCs w:val="24"/>
              </w:rPr>
              <w:t>МТР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rStyle w:val="Style8"/>
                <w:b w:val="false"/>
                <w:bCs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материально-технические ресурсы, включая материалы и оборудование</w:t>
            </w:r>
          </w:p>
        </w:tc>
      </w:tr>
      <w:tr>
        <w:trPr>
          <w:cantSplit w:val="true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ППР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проект производства работ</w:t>
            </w:r>
          </w:p>
        </w:tc>
      </w:tr>
      <w:tr>
        <w:trPr>
          <w:cantSplit w:val="true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rStyle w:val="Style8"/>
                <w:b w:val="false"/>
                <w:iCs/>
                <w:sz w:val="24"/>
                <w:szCs w:val="24"/>
                <w:shd w:fill="auto" w:val="clear"/>
              </w:rPr>
            </w:pPr>
            <w:r>
              <w:rPr>
                <w:iCs/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rStyle w:val="Style8"/>
                <w:b w:val="false"/>
                <w:bCs/>
                <w:i w:val="false"/>
                <w:i w:val="false"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СРО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саморегулируемая организация</w:t>
            </w:r>
          </w:p>
        </w:tc>
      </w:tr>
      <w:tr>
        <w:trPr>
          <w:cantSplit w:val="true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СП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свод правил</w:t>
            </w:r>
          </w:p>
        </w:tc>
      </w:tr>
      <w:tr>
        <w:trPr>
          <w:cantSplit w:val="true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СанПиН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санитарные правила и нормы</w:t>
            </w:r>
          </w:p>
        </w:tc>
      </w:tr>
      <w:tr>
        <w:trPr>
          <w:cantSplit w:val="true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СОУЭ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система оповещения и управления эвакуацией</w:t>
            </w:r>
          </w:p>
        </w:tc>
      </w:tr>
      <w:tr>
        <w:trPr>
          <w:cantSplit w:val="true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СПС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система пожарной сигнализации</w:t>
            </w:r>
          </w:p>
        </w:tc>
      </w:tr>
      <w:tr>
        <w:trPr>
          <w:cantSplit w:val="true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СПТ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система пожаротушения</w:t>
            </w:r>
          </w:p>
        </w:tc>
      </w:tr>
    </w:tbl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>
          <w:sz w:val="24"/>
          <w:szCs w:val="24"/>
        </w:rPr>
      </w:pPr>
      <w:bookmarkStart w:id="13" w:name="_Toc124494794"/>
      <w:bookmarkStart w:id="14" w:name="_Toc46743506"/>
      <w:r>
        <w:rPr>
          <w:sz w:val="24"/>
          <w:szCs w:val="24"/>
        </w:rPr>
        <w:t>Наименование закупаемой продукции</w:t>
      </w:r>
      <w:bookmarkEnd w:id="13"/>
      <w:bookmarkEnd w:id="14"/>
    </w:p>
    <w:p>
      <w:pPr>
        <w:pStyle w:val="Normal"/>
        <w:widowControl/>
        <w:suppressAutoHyphens w:val="false"/>
        <w:bidi w:val="0"/>
        <w:spacing w:lineRule="auto" w:line="276" w:before="0" w:after="0"/>
        <w:ind w:left="0" w:right="0" w:firstLine="510"/>
        <w:jc w:val="both"/>
        <w:rPr/>
      </w:pPr>
      <w:r>
        <w:rPr>
          <w:rStyle w:val="Style8"/>
          <w:rFonts w:eastAsia="Calibri" w:cs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x-none" w:bidi="ar-SA"/>
        </w:rPr>
        <w:t>Проектно-сметная и р</w:t>
      </w:r>
      <w:r>
        <w:rPr>
          <w:rStyle w:val="Style8"/>
          <w:rFonts w:eastAsia="Calibri" w:cs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x-none" w:bidi="ar-SA"/>
        </w:rPr>
        <w:t>абочая документация по объекту: «</w:t>
      </w:r>
      <w:r>
        <w:rPr>
          <w:rStyle w:val="Style8"/>
          <w:rFonts w:eastAsia="Calibri" w:cs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x-none" w:bidi="ar-SA"/>
        </w:rPr>
        <w:t>Техническое перевооружение сети газопотребления ГДЭС с. Люксюгюн Кобяйских ЭС АО «Сахаэнерго</w:t>
      </w:r>
      <w:r>
        <w:rPr>
          <w:rStyle w:val="Style8"/>
          <w:rFonts w:eastAsia="Calibri" w:cs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x-none" w:bidi="ar-SA"/>
        </w:rPr>
        <w:t>».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>
          <w:sz w:val="24"/>
          <w:szCs w:val="24"/>
        </w:rPr>
      </w:pPr>
      <w:bookmarkStart w:id="15" w:name="_Toc124494795"/>
      <w:bookmarkStart w:id="16" w:name="_Toc46743507"/>
      <w:r>
        <w:rPr>
          <w:color w:val="auto"/>
          <w:sz w:val="24"/>
          <w:szCs w:val="24"/>
        </w:rPr>
        <w:t>Цель</w:t>
      </w:r>
      <w:r>
        <w:rPr>
          <w:sz w:val="24"/>
          <w:szCs w:val="24"/>
        </w:rPr>
        <w:t xml:space="preserve"> </w:t>
      </w:r>
      <w:bookmarkEnd w:id="16"/>
      <w:r>
        <w:rPr>
          <w:sz w:val="24"/>
          <w:szCs w:val="24"/>
          <w:lang w:val="ru-RU"/>
        </w:rPr>
        <w:t>выполнения работ</w:t>
      </w:r>
      <w:bookmarkEnd w:id="15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0" w:after="0"/>
        <w:ind w:firstLine="567"/>
        <w:jc w:val="both"/>
        <w:rPr/>
      </w:pP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 xml:space="preserve">Проведение комплексных мероприятий по разработке проектно-сметной, </w:t>
      </w: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>рабочей</w:t>
      </w: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 xml:space="preserve"> документации </w:t>
      </w: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 xml:space="preserve">и экспертизы промышленной безопасности проектной документации для выполнения следующих работ: </w:t>
      </w:r>
      <w:r>
        <w:rPr>
          <w:rStyle w:val="Style8"/>
          <w:rFonts w:eastAsia="Calibri" w:cs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x-none" w:bidi="ar-SA"/>
        </w:rPr>
        <w:t>«Техническое перевооружение сети газопотребления ГДЭС с. Люксюгюн Кобяйских ЭС АО «Сахаэнерго»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0" w:after="0"/>
        <w:ind w:firstLine="567"/>
        <w:jc w:val="both"/>
        <w:rPr>
          <w:rStyle w:val="Style8"/>
          <w:rFonts w:eastAsia="Calibri"/>
          <w:b w:val="false"/>
          <w:bCs/>
          <w:i w:val="false"/>
          <w:i w:val="false"/>
          <w:color w:val="000000"/>
          <w:sz w:val="24"/>
          <w:szCs w:val="24"/>
          <w:shd w:fill="auto" w:val="clear"/>
          <w:lang w:eastAsia="x-none"/>
        </w:rPr>
      </w:pPr>
      <w:r>
        <w:rPr>
          <w:rFonts w:eastAsia="Calibri"/>
          <w:b w:val="false"/>
          <w:bCs/>
          <w:i w:val="false"/>
          <w:color w:val="000000"/>
          <w:sz w:val="24"/>
          <w:szCs w:val="24"/>
          <w:shd w:fill="auto" w:val="clear"/>
          <w:lang w:eastAsia="x-none"/>
        </w:rPr>
      </w:r>
    </w:p>
    <w:p>
      <w:pPr>
        <w:pStyle w:val="Heading4"/>
        <w:numPr>
          <w:ilvl w:val="1"/>
          <w:numId w:val="3"/>
        </w:numPr>
        <w:rPr>
          <w:sz w:val="24"/>
          <w:szCs w:val="24"/>
        </w:rPr>
      </w:pPr>
      <w:bookmarkStart w:id="17" w:name="_Toc124494796"/>
      <w:bookmarkStart w:id="18" w:name="_Toc46743508"/>
      <w:r>
        <w:rPr>
          <w:sz w:val="24"/>
          <w:szCs w:val="24"/>
        </w:rPr>
        <w:t>Существующее положение</w:t>
      </w:r>
      <w:bookmarkEnd w:id="17"/>
      <w:bookmarkEnd w:id="18"/>
    </w:p>
    <w:p>
      <w:pPr>
        <w:pStyle w:val="Normal"/>
        <w:widowControl/>
        <w:tabs>
          <w:tab w:val="clear" w:pos="708"/>
          <w:tab w:val="left" w:pos="545" w:leader="none"/>
        </w:tabs>
        <w:suppressAutoHyphens w:val="false"/>
        <w:bidi w:val="0"/>
        <w:spacing w:before="0" w:after="0"/>
        <w:ind w:left="0" w:right="0" w:firstLine="567"/>
        <w:jc w:val="both"/>
        <w:rPr/>
      </w:pPr>
      <w:r>
        <w:rPr>
          <w:rFonts w:eastAsia="Times New Roman" w:cs="Times New Roman"/>
          <w:color w:val="auto"/>
          <w:kern w:val="0"/>
          <w:sz w:val="24"/>
          <w:szCs w:val="24"/>
          <w:u w:val="single"/>
          <w:lang w:val="ru-RU" w:eastAsia="ru-RU" w:bidi="ar-SA"/>
        </w:rPr>
        <w:t>Наименование объекта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: газодизельная электростанция (ГДЭС)</w:t>
      </w:r>
    </w:p>
    <w:p>
      <w:pPr>
        <w:pStyle w:val="Normal"/>
        <w:widowControl/>
        <w:suppressAutoHyphens w:val="false"/>
        <w:bidi w:val="0"/>
        <w:spacing w:before="0" w:after="0"/>
        <w:ind w:left="0" w:right="0" w:firstLine="567"/>
        <w:jc w:val="left"/>
        <w:rPr>
          <w:sz w:val="24"/>
          <w:szCs w:val="24"/>
        </w:rPr>
      </w:pPr>
      <w:r>
        <w:rPr>
          <w:sz w:val="24"/>
          <w:szCs w:val="24"/>
          <w:u w:val="single"/>
        </w:rPr>
        <w:t>Местоположение объекта</w:t>
      </w:r>
      <w:r>
        <w:rPr>
          <w:sz w:val="24"/>
          <w:szCs w:val="24"/>
          <w:u w:val="none"/>
        </w:rPr>
        <w:t xml:space="preserve">: </w:t>
      </w:r>
      <w:r>
        <w:rPr>
          <w:sz w:val="24"/>
          <w:szCs w:val="24"/>
        </w:rPr>
        <w:t xml:space="preserve">Республика Саха (Якутия), </w:t>
      </w:r>
      <w:r>
        <w:rPr>
          <w:sz w:val="24"/>
          <w:szCs w:val="24"/>
        </w:rPr>
        <w:t>Кобяйский улус (район), с. Люксюгюн</w:t>
      </w:r>
    </w:p>
    <w:p>
      <w:pPr>
        <w:pStyle w:val="Normal"/>
        <w:widowControl/>
        <w:shd w:val="clear" w:fill="FFFFFF"/>
        <w:suppressAutoHyphens w:val="false"/>
        <w:bidi w:val="0"/>
        <w:spacing w:before="0" w:after="0"/>
        <w:ind w:left="0" w:right="0" w:firstLine="567"/>
        <w:jc w:val="both"/>
        <w:rPr>
          <w:rFonts w:ascii="Times New Roman" w:hAnsi="Times New Roman" w:eastAsia="Times New Roman" w:cs="Times New Roman"/>
          <w:color w:val="auto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4"/>
          <w:szCs w:val="24"/>
          <w:u w:val="single"/>
          <w:lang w:val="ru-RU" w:eastAsia="ru-RU" w:bidi="ar-SA"/>
        </w:rPr>
        <w:t>Вид строительства</w:t>
      </w:r>
      <w:r>
        <w:rPr>
          <w:rFonts w:eastAsia="Times New Roman" w:cs="Times New Roman"/>
          <w:color w:val="auto"/>
          <w:kern w:val="0"/>
          <w:sz w:val="24"/>
          <w:szCs w:val="24"/>
          <w:u w:val="none"/>
          <w:lang w:val="ru-RU" w:eastAsia="ru-RU" w:bidi="ar-SA"/>
        </w:rPr>
        <w:t xml:space="preserve">: </w:t>
      </w:r>
      <w:r>
        <w:rPr>
          <w:rFonts w:eastAsia="Times New Roman" w:cs="Times New Roman"/>
          <w:color w:val="auto"/>
          <w:kern w:val="0"/>
          <w:sz w:val="24"/>
          <w:szCs w:val="24"/>
          <w:u w:val="none"/>
          <w:lang w:val="ru-RU" w:eastAsia="ru-RU" w:bidi="ar-SA"/>
        </w:rPr>
        <w:t>имеющееся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567"/>
        <w:jc w:val="both"/>
        <w:rPr/>
      </w:pPr>
      <w:r>
        <w:rPr>
          <w:rFonts w:eastAsia="Calibri"/>
          <w:sz w:val="24"/>
          <w:szCs w:val="24"/>
          <w:u w:val="single"/>
          <w:lang w:eastAsia="x-none"/>
        </w:rPr>
        <w:t>Особые условия проектирования и строительства</w:t>
      </w:r>
      <w:r>
        <w:rPr>
          <w:rFonts w:eastAsia="Calibri"/>
          <w:sz w:val="24"/>
          <w:szCs w:val="24"/>
          <w:u w:val="none"/>
          <w:lang w:eastAsia="x-none"/>
        </w:rPr>
        <w:t>: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 xml:space="preserve">- район </w:t>
      </w:r>
      <w:r>
        <w:rPr>
          <w:rFonts w:eastAsia="Calibri"/>
          <w:sz w:val="24"/>
          <w:szCs w:val="24"/>
          <w:lang w:eastAsia="x-none"/>
        </w:rPr>
        <w:t>Крайнего севера</w:t>
      </w:r>
      <w:r>
        <w:rPr>
          <w:rFonts w:eastAsia="Calibri"/>
          <w:sz w:val="24"/>
          <w:szCs w:val="24"/>
          <w:lang w:eastAsia="x-none"/>
        </w:rPr>
        <w:t>, завоз строительных материалов возможен только по временным зимним дорогам (автозимники);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 xml:space="preserve">Существующая сеть газопотребления представляет собой внутренний трубопровод </w:t>
      </w:r>
      <w:r>
        <w:rPr>
          <w:rFonts w:eastAsia="Calibri" w:cs="Times New Roman"/>
          <w:sz w:val="24"/>
          <w:szCs w:val="24"/>
          <w:lang w:eastAsia="x-none"/>
        </w:rPr>
        <w:t>с установленным по ходу движения газа следующим оборудованием: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r>
        <w:rPr>
          <w:rFonts w:eastAsia="Calibri" w:cs="Times New Roman"/>
          <w:sz w:val="24"/>
          <w:szCs w:val="24"/>
          <w:lang w:eastAsia="x-none"/>
        </w:rPr>
        <w:t xml:space="preserve">- </w:t>
      </w:r>
      <w:r>
        <w:rPr>
          <w:rFonts w:eastAsia="Calibri" w:cs="Times New Roman"/>
          <w:b w:val="false"/>
          <w:bCs w:val="false"/>
          <w:sz w:val="24"/>
          <w:szCs w:val="24"/>
          <w:lang w:val="en-US" w:eastAsia="x-none"/>
        </w:rPr>
        <w:t xml:space="preserve">трубопровод стальной 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val="en-US" w:eastAsia="x-none"/>
        </w:rPr>
        <w:t>Ø</w:t>
      </w:r>
      <w:r>
        <w:rPr>
          <w:rFonts w:eastAsia="Calibri" w:cs="Times New Roman"/>
          <w:b w:val="false"/>
          <w:bCs w:val="false"/>
          <w:sz w:val="24"/>
          <w:szCs w:val="24"/>
          <w:lang w:val="en-US" w:eastAsia="x-none"/>
        </w:rPr>
        <w:t xml:space="preserve"> 57х3,5 длиной 17,9 м.;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r>
        <w:rPr>
          <w:rFonts w:eastAsia="Calibri" w:cs="Times New Roman"/>
          <w:sz w:val="24"/>
          <w:szCs w:val="24"/>
          <w:lang w:eastAsia="x-none"/>
        </w:rPr>
        <w:t>- кран шаровый запорный Ду 50;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r>
        <w:rPr>
          <w:rFonts w:eastAsia="Calibri" w:cs="Times New Roman"/>
          <w:sz w:val="24"/>
          <w:szCs w:val="24"/>
          <w:lang w:eastAsia="x-none"/>
        </w:rPr>
        <w:t>- кран термозапорный КТЗ;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r>
        <w:rPr>
          <w:rFonts w:eastAsia="Calibri" w:cs="Times New Roman"/>
          <w:sz w:val="24"/>
          <w:szCs w:val="24"/>
          <w:lang w:eastAsia="x-none"/>
        </w:rPr>
        <w:t>- кран шаровый запорный Ду 50;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r>
        <w:rPr>
          <w:rFonts w:eastAsia="Calibri" w:cs="Times New Roman"/>
          <w:sz w:val="24"/>
          <w:szCs w:val="24"/>
          <w:lang w:eastAsia="x-none"/>
        </w:rPr>
        <w:t>- кран электромагнитный запорный КПЭГ-50;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r>
        <w:rPr>
          <w:rFonts w:eastAsia="Calibri" w:cs="Times New Roman"/>
          <w:sz w:val="24"/>
          <w:szCs w:val="24"/>
          <w:lang w:eastAsia="x-none"/>
        </w:rPr>
        <w:t>- кран шаровый запорный Ду 50;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r>
        <w:rPr>
          <w:rFonts w:eastAsia="Calibri" w:cs="Times New Roman"/>
          <w:sz w:val="24"/>
          <w:szCs w:val="24"/>
          <w:lang w:eastAsia="x-none"/>
        </w:rPr>
        <w:t>- фильтр газовый ФГ, Ду 50;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r>
        <w:rPr>
          <w:rFonts w:eastAsia="Calibri" w:cs="Times New Roman"/>
          <w:sz w:val="24"/>
          <w:szCs w:val="24"/>
          <w:lang w:eastAsia="x-none"/>
        </w:rPr>
        <w:t>- байпасная линия с краном шаровым запорным Ду 50;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r>
        <w:rPr>
          <w:rFonts w:eastAsia="Calibri" w:cs="Times New Roman"/>
          <w:sz w:val="24"/>
          <w:szCs w:val="24"/>
          <w:lang w:eastAsia="x-none"/>
        </w:rPr>
        <w:t xml:space="preserve">- измерительный комплекс  </w:t>
      </w:r>
      <w:r>
        <w:rPr>
          <w:rFonts w:eastAsia="Calibri" w:cs="Times New Roman"/>
          <w:b w:val="false"/>
          <w:bCs w:val="false"/>
          <w:sz w:val="24"/>
          <w:szCs w:val="24"/>
          <w:lang w:val="en-US" w:eastAsia="x-none"/>
        </w:rPr>
        <w:t>СГ-ЭКВз-Р-0,75-25/1,6;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r>
        <w:rPr>
          <w:rFonts w:eastAsia="Calibri" w:cs="Times New Roman"/>
          <w:b w:val="false"/>
          <w:bCs w:val="false"/>
          <w:sz w:val="24"/>
          <w:szCs w:val="24"/>
          <w:lang w:val="en-US" w:eastAsia="x-none"/>
        </w:rPr>
        <w:t>- кран шаровый запорный Ду 50;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r>
        <w:rPr>
          <w:rFonts w:eastAsia="Calibri" w:cs="Times New Roman"/>
          <w:b w:val="false"/>
          <w:bCs w:val="false"/>
          <w:sz w:val="24"/>
          <w:szCs w:val="24"/>
          <w:lang w:val="en-US" w:eastAsia="x-none"/>
        </w:rPr>
        <w:t>- ГРПШ на базе регулятора давления РДНК-400М;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r>
        <w:rPr>
          <w:rFonts w:eastAsia="Calibri" w:cs="Times New Roman"/>
          <w:b w:val="false"/>
          <w:bCs w:val="false"/>
          <w:sz w:val="24"/>
          <w:szCs w:val="24"/>
          <w:lang w:val="en-US" w:eastAsia="x-none"/>
        </w:rPr>
        <w:t>- кран шаровый запорный Ду 50;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r>
        <w:rPr>
          <w:rFonts w:eastAsia="Calibri" w:cs="Times New Roman"/>
          <w:b w:val="false"/>
          <w:bCs w:val="false"/>
          <w:sz w:val="24"/>
          <w:szCs w:val="24"/>
          <w:lang w:val="en-US" w:eastAsia="x-none"/>
        </w:rPr>
        <w:t>- манометры показывающие 0 – 10 кгс/см2 – 4 шт.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r>
        <w:rPr>
          <w:rFonts w:eastAsia="Calibri" w:cs="Times New Roman"/>
          <w:b w:val="false"/>
          <w:bCs w:val="false"/>
          <w:sz w:val="24"/>
          <w:szCs w:val="24"/>
          <w:lang w:val="en-US" w:eastAsia="x-none"/>
        </w:rPr>
        <w:t>- переход стальной с Ду 50 на Ду 80;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r>
        <w:rPr>
          <w:rFonts w:eastAsia="Calibri" w:cs="Times New Roman"/>
          <w:b w:val="false"/>
          <w:bCs w:val="false"/>
          <w:sz w:val="24"/>
          <w:szCs w:val="24"/>
          <w:lang w:val="en-US" w:eastAsia="x-none"/>
        </w:rPr>
        <w:t xml:space="preserve">- трубопровод стальной 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  <w:lang w:val="en-US" w:eastAsia="x-none"/>
        </w:rPr>
        <w:t>Ø</w:t>
      </w:r>
      <w:r>
        <w:rPr>
          <w:rFonts w:eastAsia="Calibri" w:cs="Times New Roman"/>
          <w:b w:val="false"/>
          <w:bCs w:val="false"/>
          <w:sz w:val="24"/>
          <w:szCs w:val="24"/>
          <w:lang w:val="en-US" w:eastAsia="x-none"/>
        </w:rPr>
        <w:t xml:space="preserve"> 89х4,5 длиной 14,9 м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bookmarkStart w:id="19" w:name="_Toc124494797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r>
        <w:rPr>
          <w:sz w:val="24"/>
          <w:szCs w:val="24"/>
          <w:lang w:val="ru-RU"/>
        </w:rPr>
        <w:t>имеющегося газового оборудования</w:t>
      </w:r>
      <w:r>
        <w:rPr>
          <w:sz w:val="24"/>
          <w:szCs w:val="24"/>
          <w:lang w:val="ru-RU"/>
        </w:rPr>
        <w:t xml:space="preserve"> заказчика</w:t>
      </w:r>
      <w:bookmarkEnd w:id="19"/>
    </w:p>
    <w:tbl>
      <w:tblPr>
        <w:tblW w:w="9958" w:type="dxa"/>
        <w:jc w:val="left"/>
        <w:tblInd w:w="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711"/>
        <w:gridCol w:w="3309"/>
        <w:gridCol w:w="3855"/>
        <w:gridCol w:w="2083"/>
      </w:tblGrid>
      <w:tr>
        <w:trPr/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оборудования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2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3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4</w:t>
            </w:r>
          </w:p>
        </w:tc>
      </w:tr>
      <w:tr>
        <w:trPr>
          <w:trHeight w:val="735" w:hRule="atLeast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contextualSpacing w:val="false"/>
              <w:jc w:val="center"/>
              <w:rPr/>
            </w:pPr>
            <w:r>
              <w:rPr/>
              <w:t>1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eastAsia="Calibri" w:cs="Times New Roman"/>
                <w:b w:val="false"/>
                <w:bCs w:val="false"/>
                <w:sz w:val="24"/>
                <w:szCs w:val="24"/>
                <w:lang w:val="en-US" w:eastAsia="x-none"/>
              </w:rPr>
              <w:t>Кран термозапорный КТЗ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45" w:leader="none"/>
              </w:tabs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н/д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i/>
                <w:i/>
                <w:iCs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Без изменений</w:t>
            </w:r>
          </w:p>
        </w:tc>
      </w:tr>
      <w:tr>
        <w:trPr>
          <w:trHeight w:val="2370" w:hRule="atLeast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contextualSpacing w:val="false"/>
              <w:jc w:val="center"/>
              <w:rPr/>
            </w:pPr>
            <w:r>
              <w:rPr/>
              <w:t>2</w:t>
            </w:r>
          </w:p>
        </w:tc>
        <w:tc>
          <w:tcPr>
            <w:tcW w:w="3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eastAsia="Calibri" w:cs="Times New Roman"/>
                <w:b w:val="false"/>
                <w:bCs w:val="false"/>
                <w:sz w:val="24"/>
                <w:szCs w:val="24"/>
                <w:lang w:val="en-US" w:eastAsia="x-none"/>
              </w:rPr>
              <w:t>Кран предохранительно запорный электромагнитный КПЭГ-50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45" w:leader="none"/>
              </w:tabs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>Зав. №: 317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45" w:leader="none"/>
              </w:tabs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>Год выпуска: 2004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45" w:leader="none"/>
              </w:tabs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>Электропитание: 220В перем. тока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45" w:leader="none"/>
              </w:tabs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>Рабочее давление, не более: 1,2 МПа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45" w:leader="none"/>
              </w:tabs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>Тип привода: электромагнитный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45" w:leader="none"/>
              </w:tabs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>Присоединение: фланцевое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45" w:leader="none"/>
              </w:tabs>
              <w:spacing w:lineRule="auto" w:line="240" w:before="0" w:after="0"/>
              <w:rPr/>
            </w:pPr>
            <w:r>
              <w:rPr>
                <w:sz w:val="24"/>
                <w:szCs w:val="24"/>
              </w:rPr>
              <w:t>Строительная длина: 230 мм</w:t>
            </w: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  <w:sz w:val="24"/>
                <w:szCs w:val="24"/>
              </w:rPr>
              <w:t>Без изменений</w:t>
            </w:r>
          </w:p>
        </w:tc>
      </w:tr>
      <w:tr>
        <w:trPr>
          <w:trHeight w:val="1020" w:hRule="atLeast"/>
        </w:trPr>
        <w:tc>
          <w:tcPr>
            <w:tcW w:w="7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contextualSpacing w:val="false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eastAsia="Calibri" w:cs="Times New Roman"/>
                <w:b w:val="false"/>
                <w:bCs w:val="false"/>
                <w:sz w:val="24"/>
                <w:szCs w:val="24"/>
                <w:lang w:val="en-US" w:eastAsia="x-none"/>
              </w:rPr>
              <w:t>Измерительный комплекс СГ-ЭКВз-Р-0,75-25/1,6 в составе: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45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20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i/>
                <w:i/>
                <w:iCs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Замена (см. Таблицу 1.2)</w:t>
            </w:r>
          </w:p>
        </w:tc>
      </w:tr>
      <w:tr>
        <w:trPr>
          <w:trHeight w:val="1755" w:hRule="atLeast"/>
        </w:trPr>
        <w:tc>
          <w:tcPr>
            <w:tcW w:w="7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w="3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eastAsia="Calibri" w:cs="Times New Roman"/>
                <w:b w:val="false"/>
                <w:bCs w:val="false"/>
                <w:sz w:val="24"/>
                <w:szCs w:val="24"/>
                <w:lang w:val="en-US" w:eastAsia="x-none"/>
              </w:rPr>
              <w:t>- счетчик газа RVG G16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45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Типоразмер счетчика: G16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45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условного прохода: Ду 50 мм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45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Диапазон измерения </w:t>
            </w:r>
            <w:r>
              <w:rPr>
                <w:rFonts w:eastAsia="Calibri" w:cs="Times New Roman"/>
                <w:b w:val="false"/>
                <w:bCs w:val="false"/>
                <w:sz w:val="24"/>
                <w:szCs w:val="24"/>
                <w:lang w:val="en-US" w:eastAsia="x-none"/>
              </w:rPr>
              <w:t>Qmin/Qmax: 0,8 – 25 м3/ч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45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 w:val="false"/>
                <w:sz w:val="24"/>
                <w:szCs w:val="24"/>
                <w:lang w:val="en-US" w:eastAsia="x-none"/>
              </w:rPr>
              <w:t>Макс. рабочее давление: 1,6 МПа</w:t>
            </w:r>
          </w:p>
        </w:tc>
        <w:tc>
          <w:tcPr>
            <w:tcW w:w="20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1152" w:hRule="atLeast"/>
        </w:trPr>
        <w:tc>
          <w:tcPr>
            <w:tcW w:w="7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contextualSpacing w:val="false"/>
              <w:jc w:val="center"/>
              <w:rPr/>
            </w:pPr>
            <w:r>
              <w:rPr/>
            </w:r>
          </w:p>
        </w:tc>
        <w:tc>
          <w:tcPr>
            <w:tcW w:w="3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eastAsia="Calibri" w:cs="Times New Roman"/>
                <w:b w:val="false"/>
                <w:bCs w:val="false"/>
                <w:sz w:val="24"/>
                <w:szCs w:val="24"/>
                <w:lang w:val="en-US" w:eastAsia="x-none"/>
              </w:rPr>
              <w:t>- корректор газа ЕК 270 с датчиком давления и температуры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45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Модель корректора: ЕК270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45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Преобразователь давления: да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45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Преобразователь температуры: да</w:t>
            </w:r>
          </w:p>
        </w:tc>
        <w:tc>
          <w:tcPr>
            <w:tcW w:w="20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</w:tc>
      </w:tr>
      <w:tr>
        <w:trPr>
          <w:trHeight w:val="709" w:hRule="atLeast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contextualSpacing w:val="false"/>
              <w:jc w:val="center"/>
              <w:rPr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eastAsia="Calibri" w:cs="Times New Roman"/>
                <w:b w:val="false"/>
                <w:bCs w:val="false"/>
                <w:sz w:val="24"/>
                <w:szCs w:val="24"/>
                <w:lang w:val="en-US" w:eastAsia="x-none"/>
              </w:rPr>
              <w:t>ГРПШ для редуцирования и подачи природного газа для газопоршневых агрегатов, в составе: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eastAsia="Calibri" w:cs="Times New Roman"/>
                <w:b w:val="false"/>
                <w:bCs w:val="false"/>
                <w:sz w:val="24"/>
                <w:szCs w:val="24"/>
                <w:lang w:val="en-US" w:eastAsia="x-none"/>
              </w:rPr>
              <w:t>- регулятор давления газа РДНК-400М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eastAsia="Calibri" w:cs="Times New Roman"/>
                <w:b w:val="false"/>
                <w:bCs w:val="false"/>
                <w:sz w:val="24"/>
                <w:szCs w:val="24"/>
                <w:lang w:val="en-US" w:eastAsia="x-none"/>
              </w:rPr>
              <w:t>Зав. №: 41956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eastAsia="Calibri" w:cs="Times New Roman"/>
                <w:b w:val="false"/>
                <w:bCs w:val="false"/>
                <w:sz w:val="24"/>
                <w:szCs w:val="24"/>
                <w:lang w:val="en-US" w:eastAsia="x-none"/>
              </w:rPr>
              <w:t>Год выпуска: 2003</w:t>
              <w:br/>
              <w:t xml:space="preserve">Присоединительные размеры: Ду </w:t>
            </w:r>
            <w:r>
              <w:rPr>
                <w:rFonts w:eastAsia="Calibri" w:cs="Times New Roman"/>
                <w:b w:val="false"/>
                <w:bCs w:val="false"/>
                <w:sz w:val="24"/>
                <w:szCs w:val="24"/>
                <w:lang w:val="en-US" w:eastAsia="x-none"/>
              </w:rPr>
              <w:t>50 мм, фланцевое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eastAsia="Calibri" w:cs="Times New Roman"/>
                <w:b w:val="false"/>
                <w:bCs w:val="false"/>
                <w:sz w:val="24"/>
                <w:szCs w:val="24"/>
                <w:lang w:val="en-US" w:eastAsia="x-none"/>
              </w:rPr>
              <w:t>Регулируемая среда: природный газ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eastAsia="Calibri" w:cs="Times New Roman"/>
                <w:b w:val="false"/>
                <w:bCs w:val="false"/>
                <w:sz w:val="24"/>
                <w:szCs w:val="24"/>
                <w:lang w:val="en-US" w:eastAsia="x-none"/>
              </w:rPr>
              <w:t>Входное давление: 0,6 Мпа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eastAsia="Calibri" w:cs="Times New Roman"/>
                <w:b w:val="false"/>
                <w:bCs w:val="false"/>
                <w:sz w:val="24"/>
                <w:szCs w:val="24"/>
                <w:lang w:val="en-US" w:eastAsia="x-none"/>
              </w:rPr>
              <w:t>Выходное давление: 0,002 – 0,005 МПа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eastAsia="Calibri" w:cs="Times New Roman"/>
                <w:b w:val="false"/>
                <w:bCs w:val="false"/>
                <w:sz w:val="24"/>
                <w:szCs w:val="24"/>
                <w:lang w:val="en-US" w:eastAsia="x-none"/>
              </w:rPr>
              <w:t>Пропускная способность (при вх. давлении 0,6 МПа): не менее 600 м3/ч</w:t>
            </w: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  <w:sz w:val="24"/>
                <w:szCs w:val="24"/>
              </w:rPr>
              <w:t>Замена (см. Таблицу 1.2)</w:t>
            </w:r>
          </w:p>
        </w:tc>
      </w:tr>
      <w:tr>
        <w:trPr>
          <w:trHeight w:val="709" w:hRule="atLeast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contextualSpacing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eastAsia="Calibri" w:cs="Times New Roman"/>
                <w:b w:val="false"/>
                <w:bCs w:val="false"/>
                <w:sz w:val="24"/>
                <w:szCs w:val="24"/>
                <w:lang w:val="en-US" w:eastAsia="x-none"/>
              </w:rPr>
              <w:t>ГРПШ для редуцирования и подачи природного газа для отопительного котла, в составе: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eastAsia="Calibri" w:cs="Times New Roman"/>
                <w:b w:val="false"/>
                <w:bCs w:val="false"/>
                <w:sz w:val="24"/>
                <w:szCs w:val="24"/>
                <w:lang w:val="en-US" w:eastAsia="x-none"/>
              </w:rPr>
              <w:t>- регулятор давления газа РДНК-400М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eastAsia="Calibri" w:cs="Times New Roman"/>
                <w:b w:val="false"/>
                <w:bCs w:val="false"/>
                <w:sz w:val="24"/>
                <w:szCs w:val="24"/>
                <w:lang w:val="en-US" w:eastAsia="x-none"/>
              </w:rPr>
              <w:t>Зав. №: 206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eastAsia="Calibri" w:cs="Times New Roman"/>
                <w:b w:val="false"/>
                <w:bCs w:val="false"/>
                <w:sz w:val="24"/>
                <w:szCs w:val="24"/>
                <w:lang w:val="en-US" w:eastAsia="x-none"/>
              </w:rPr>
              <w:t>Год выпуска: 2010</w:t>
              <w:br/>
              <w:t xml:space="preserve">Присоединительные размеры: Ду </w:t>
            </w:r>
            <w:r>
              <w:rPr>
                <w:rFonts w:eastAsia="Calibri" w:cs="Times New Roman"/>
                <w:b w:val="false"/>
                <w:bCs w:val="false"/>
                <w:sz w:val="24"/>
                <w:szCs w:val="24"/>
                <w:lang w:val="en-US" w:eastAsia="x-none"/>
              </w:rPr>
              <w:t>50 мм, фланцевое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eastAsia="Calibri" w:cs="Times New Roman"/>
                <w:b w:val="false"/>
                <w:bCs w:val="false"/>
                <w:sz w:val="24"/>
                <w:szCs w:val="24"/>
                <w:lang w:val="en-US" w:eastAsia="x-none"/>
              </w:rPr>
              <w:t>Регулируемая среда: природный газ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eastAsia="Calibri" w:cs="Times New Roman"/>
                <w:b w:val="false"/>
                <w:bCs w:val="false"/>
                <w:sz w:val="24"/>
                <w:szCs w:val="24"/>
                <w:lang w:val="en-US" w:eastAsia="x-none"/>
              </w:rPr>
              <w:t>Входное давление: 0,6 Мпа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eastAsia="Calibri" w:cs="Times New Roman"/>
                <w:b w:val="false"/>
                <w:bCs w:val="false"/>
                <w:sz w:val="24"/>
                <w:szCs w:val="24"/>
                <w:lang w:val="en-US" w:eastAsia="x-none"/>
              </w:rPr>
              <w:t>Выходное давление: 0,002 – 0,005 МПа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 w:val="false"/>
                <w:sz w:val="24"/>
                <w:szCs w:val="24"/>
                <w:lang w:val="en-US" w:eastAsia="x-none"/>
              </w:rPr>
              <w:t>Пропускная способность (при вх. давлении 0,6 МПа): не менее 600 м3/ч</w:t>
            </w: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/>
                <w:iCs/>
                <w:sz w:val="24"/>
                <w:szCs w:val="24"/>
              </w:rPr>
              <w:t>Без изменений</w:t>
            </w:r>
          </w:p>
        </w:tc>
      </w:tr>
      <w:tr>
        <w:trPr>
          <w:trHeight w:val="709" w:hRule="atLeast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contextualSpacing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eastAsia="Calibri" w:cs="Times New Roman"/>
                <w:b w:val="false"/>
                <w:bCs w:val="false"/>
                <w:sz w:val="24"/>
                <w:szCs w:val="24"/>
                <w:lang w:val="en-US" w:eastAsia="x-none"/>
              </w:rPr>
              <w:t>Котел водогрейный газовый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eastAsia="Calibri" w:cs="Times New Roman"/>
                <w:b w:val="false"/>
                <w:bCs w:val="false"/>
                <w:sz w:val="24"/>
                <w:szCs w:val="24"/>
                <w:lang w:val="en-US" w:eastAsia="x-none"/>
              </w:rPr>
              <w:t>Лидер-35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45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Номинальная теплопроизводительность: 35 кВт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45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КПД, не менее: 90%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45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Температура уходящих газов: 110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°</w:t>
            </w:r>
            <w:r>
              <w:rPr>
                <w:sz w:val="24"/>
                <w:szCs w:val="24"/>
              </w:rPr>
              <w:t>С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45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давление газа: 1300 Па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45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расход газа: 4,0 м3/ч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45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Макс. температура воды на выходе из котла: 80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°</w:t>
            </w:r>
            <w:r>
              <w:rPr>
                <w:sz w:val="24"/>
                <w:szCs w:val="24"/>
              </w:rPr>
              <w:t>С</w:t>
            </w: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i/>
                <w:i/>
                <w:iCs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Замена (см. Таблицу 1.2)</w:t>
            </w:r>
          </w:p>
        </w:tc>
      </w:tr>
    </w:tbl>
    <w:p>
      <w:pPr>
        <w:pStyle w:val="Heading1"/>
        <w:keepLines/>
        <w:widowControl/>
        <w:numPr>
          <w:ilvl w:val="0"/>
          <w:numId w:val="0"/>
        </w:numPr>
        <w:tabs>
          <w:tab w:val="clear" w:pos="708"/>
          <w:tab w:val="left" w:pos="395" w:leader="none"/>
        </w:tabs>
        <w:suppressAutoHyphens w:val="false"/>
        <w:bidi w:val="0"/>
        <w:ind w:left="340" w:right="0" w:firstLine="227"/>
        <w:jc w:val="both"/>
        <w:rPr>
          <w:b w:val="false"/>
          <w:bCs w:val="false"/>
        </w:rPr>
      </w:pPr>
      <w:r>
        <w:rPr>
          <w:b w:val="false"/>
          <w:bCs w:val="false"/>
          <w:sz w:val="24"/>
          <w:szCs w:val="24"/>
        </w:rPr>
        <w:t>Проект должен включать в себя следующие работы: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0" w:after="0"/>
        <w:ind w:firstLine="567"/>
        <w:jc w:val="both"/>
        <w:rPr/>
      </w:pPr>
      <w:r>
        <w:rPr>
          <w:rStyle w:val="Style8"/>
          <w:rFonts w:eastAsia="Calibri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eastAsia="x-none"/>
        </w:rPr>
        <w:t>- демонт</w:t>
      </w:r>
      <w:r>
        <w:rPr>
          <w:rStyle w:val="Style8"/>
          <w:rFonts w:eastAsia="Calibri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eastAsia="x-none"/>
        </w:rPr>
        <w:t xml:space="preserve">аж и </w:t>
      </w:r>
      <w:r>
        <w:rPr>
          <w:rStyle w:val="Style8"/>
          <w:rFonts w:eastAsia="Calibri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eastAsia="x-none"/>
        </w:rPr>
        <w:t>замена имеющегося ГРП</w:t>
      </w:r>
      <w:r>
        <w:rPr>
          <w:rStyle w:val="Style8"/>
          <w:rFonts w:eastAsia="Calibri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eastAsia="x-none"/>
        </w:rPr>
        <w:t>Ш на низком да</w:t>
      </w:r>
      <w:r>
        <w:rPr>
          <w:rStyle w:val="Style8"/>
          <w:rFonts w:eastAsia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eastAsia="x-none"/>
        </w:rPr>
        <w:t>в</w:t>
      </w:r>
      <w:r>
        <w:rPr>
          <w:rStyle w:val="Style8"/>
          <w:rFonts w:eastAsia="Calibri"/>
          <w:b w:val="false"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eastAsia="x-none"/>
        </w:rPr>
        <w:t>лении (РДНК-400</w:t>
      </w:r>
      <w:r>
        <w:rPr>
          <w:rStyle w:val="Style8"/>
          <w:rFonts w:eastAsia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eastAsia="x-none"/>
        </w:rPr>
        <w:t>М</w:t>
      </w:r>
      <w:r>
        <w:rPr>
          <w:rStyle w:val="Style8"/>
          <w:rFonts w:eastAsia="Calibri"/>
          <w:b w:val="false"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eastAsia="x-none"/>
        </w:rPr>
        <w:t>)</w:t>
      </w:r>
      <w:r>
        <w:rPr>
          <w:rStyle w:val="Style8"/>
          <w:rFonts w:eastAsia="Calibri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eastAsia="x-none"/>
        </w:rPr>
        <w:t xml:space="preserve"> на ГРПШ среднего давления (РДСК-50/400М) с основной и резервной линией редуцирования</w:t>
      </w:r>
      <w:r>
        <w:rPr>
          <w:rStyle w:val="Style8"/>
          <w:rFonts w:eastAsia="Calibri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eastAsia="x-none"/>
        </w:rPr>
        <w:t>;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0" w:after="0"/>
        <w:ind w:firstLine="567"/>
        <w:jc w:val="both"/>
        <w:rPr/>
      </w:pPr>
      <w:r>
        <w:rPr>
          <w:rStyle w:val="Style8"/>
          <w:rFonts w:eastAsia="Calibri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eastAsia="x-none"/>
        </w:rPr>
        <w:t>- предусмотреть место для установки прибора учета на стороне высокого давления;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0" w:after="0"/>
        <w:ind w:firstLine="567"/>
        <w:jc w:val="both"/>
        <w:rPr/>
      </w:pPr>
      <w:r>
        <w:rPr>
          <w:rStyle w:val="Style8"/>
          <w:rFonts w:eastAsia="Calibri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eastAsia="x-none"/>
        </w:rPr>
        <w:t>- предусмотреть ПСК и ПЗК;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0" w:after="0"/>
        <w:ind w:firstLine="567"/>
        <w:jc w:val="both"/>
        <w:rPr/>
      </w:pPr>
      <w:r>
        <w:rPr>
          <w:rStyle w:val="Style8"/>
          <w:rFonts w:eastAsia="Calibri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eastAsia="x-none"/>
        </w:rPr>
        <w:t>- предусмотреть КИП;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0" w:after="0"/>
        <w:ind w:firstLine="567"/>
        <w:jc w:val="both"/>
        <w:rPr/>
      </w:pPr>
      <w:r>
        <w:rPr>
          <w:rStyle w:val="Style8"/>
          <w:rFonts w:eastAsia="Calibri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eastAsia="x-none"/>
        </w:rPr>
        <w:t>- переустройство сети газопотребления — перенос газовой линии отопительного котла перед прибором учета, на высокой линии. Оснащение данной линии собственным прибором учета;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0" w:after="0"/>
        <w:ind w:firstLine="567"/>
        <w:jc w:val="both"/>
        <w:rPr/>
      </w:pPr>
      <w:r>
        <w:rPr>
          <w:rStyle w:val="Style8"/>
          <w:rFonts w:eastAsia="Calibri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eastAsia="x-none"/>
        </w:rPr>
        <w:t>- замена имеющегося отопительного котла «Лидер-35» (35 кВт) на отопительный котел «Лемакс Классик-50» (50 кВт);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0" w:after="0"/>
        <w:ind w:firstLine="567"/>
        <w:jc w:val="both"/>
        <w:rPr/>
      </w:pPr>
      <w:r>
        <w:rPr>
          <w:rStyle w:val="Style8"/>
          <w:rFonts w:eastAsia="Calibri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  <w:lang w:eastAsia="x-none"/>
        </w:rPr>
        <w:t>- включить в документацию сведения о замене основного генерирующего оборудования — газопоршневые агрегаты Camda KDGH50-G в количестве 3 шт. на идентичные агрегаты.</w:t>
      </w:r>
    </w:p>
    <w:p>
      <w:pPr>
        <w:pStyle w:val="Heading1"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bookmarkStart w:id="20" w:name="_Toc124494797_Копия_1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r>
        <w:rPr>
          <w:sz w:val="24"/>
          <w:szCs w:val="24"/>
          <w:lang w:val="ru-RU"/>
        </w:rPr>
        <w:t>планируемого газового оборудования</w:t>
      </w:r>
      <w:r>
        <w:rPr>
          <w:sz w:val="24"/>
          <w:szCs w:val="24"/>
          <w:lang w:val="ru-RU"/>
        </w:rPr>
        <w:t xml:space="preserve"> заказчика</w:t>
      </w:r>
      <w:bookmarkEnd w:id="20"/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после технического перевооружения</w:t>
      </w:r>
    </w:p>
    <w:tbl>
      <w:tblPr>
        <w:tblW w:w="9958" w:type="dxa"/>
        <w:jc w:val="left"/>
        <w:tblInd w:w="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711"/>
        <w:gridCol w:w="3309"/>
        <w:gridCol w:w="3855"/>
        <w:gridCol w:w="2083"/>
      </w:tblGrid>
      <w:tr>
        <w:trPr/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оборудования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1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2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3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4</w:t>
            </w:r>
          </w:p>
        </w:tc>
      </w:tr>
      <w:tr>
        <w:trPr>
          <w:trHeight w:val="3457" w:hRule="atLeast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contextualSpacing w:val="false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eastAsia="Calibri" w:cs="Times New Roman"/>
                <w:b w:val="false"/>
                <w:bCs w:val="false"/>
                <w:sz w:val="24"/>
                <w:szCs w:val="24"/>
                <w:lang w:val="en-US" w:eastAsia="x-none"/>
              </w:rPr>
              <w:t>ГРПШ для редуцирования и подачи природного газа для газопоршневых агрегатов, в составе: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eastAsia="Calibri" w:cs="Times New Roman"/>
                <w:b w:val="false"/>
                <w:bCs w:val="false"/>
                <w:sz w:val="24"/>
                <w:szCs w:val="24"/>
                <w:lang w:val="en-US" w:eastAsia="x-none"/>
              </w:rPr>
              <w:t>- регулятор давления газа РДСК-50/400М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eastAsia="Calibri" w:cs="Times New Roman"/>
                <w:b w:val="false"/>
                <w:bCs w:val="false"/>
                <w:sz w:val="24"/>
                <w:szCs w:val="24"/>
                <w:lang w:val="en-US" w:eastAsia="x-none"/>
              </w:rPr>
              <w:t>Основная линия + резервная линия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eastAsia="Calibri" w:cs="Times New Roman"/>
                <w:b w:val="false"/>
                <w:bCs w:val="false"/>
                <w:sz w:val="24"/>
                <w:szCs w:val="24"/>
                <w:lang w:val="en-US" w:eastAsia="x-none"/>
              </w:rPr>
              <w:t xml:space="preserve">Присоединительные размеры: Ду </w:t>
            </w:r>
            <w:r>
              <w:rPr>
                <w:rFonts w:eastAsia="Calibri" w:cs="Times New Roman"/>
                <w:b w:val="false"/>
                <w:bCs w:val="false"/>
                <w:sz w:val="24"/>
                <w:szCs w:val="24"/>
                <w:lang w:val="en-US" w:eastAsia="x-none"/>
              </w:rPr>
              <w:t>50 мм, фланцевое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eastAsia="Calibri" w:cs="Times New Roman"/>
                <w:b w:val="false"/>
                <w:bCs w:val="false"/>
                <w:sz w:val="24"/>
                <w:szCs w:val="24"/>
                <w:lang w:val="en-US" w:eastAsia="x-none"/>
              </w:rPr>
              <w:t>Регулируемая среда: природный газ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eastAsia="Calibri" w:cs="Times New Roman"/>
                <w:b w:val="false"/>
                <w:bCs w:val="false"/>
                <w:sz w:val="24"/>
                <w:szCs w:val="24"/>
                <w:lang w:val="en-US" w:eastAsia="x-none"/>
              </w:rPr>
              <w:t>Входное давление: 0,6 Мпа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eastAsia="Calibri" w:cs="Times New Roman"/>
                <w:b w:val="false"/>
                <w:bCs w:val="false"/>
                <w:sz w:val="24"/>
                <w:szCs w:val="24"/>
                <w:lang w:val="en-US" w:eastAsia="x-none"/>
              </w:rPr>
              <w:t>Выходное давление: 0,01 – 0,05 МПа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eastAsia="Calibri" w:cs="Times New Roman"/>
                <w:b w:val="false"/>
                <w:bCs w:val="false"/>
                <w:sz w:val="24"/>
                <w:szCs w:val="24"/>
                <w:lang w:val="en-US" w:eastAsia="x-none"/>
              </w:rPr>
              <w:t xml:space="preserve">Пропускная способность (при вх. давлении 0,6 МПа и диеметре седла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sz w:val="24"/>
                <w:szCs w:val="24"/>
                <w:lang w:val="en-US" w:eastAsia="x-none"/>
              </w:rPr>
              <w:t>Ø</w:t>
            </w:r>
            <w:r>
              <w:rPr>
                <w:rFonts w:eastAsia="Calibri" w:cs="Times New Roman"/>
                <w:b w:val="false"/>
                <w:bCs w:val="false"/>
                <w:sz w:val="24"/>
                <w:szCs w:val="24"/>
                <w:lang w:val="en-US" w:eastAsia="x-none"/>
              </w:rPr>
              <w:t xml:space="preserve"> 14 мм): не менее 670 м3/ч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i/>
                <w:i/>
                <w:iCs/>
              </w:rPr>
            </w:pPr>
            <w:r>
              <w:rPr>
                <w:i/>
                <w:iCs/>
                <w:sz w:val="24"/>
                <w:szCs w:val="24"/>
              </w:rPr>
              <w:t>Проектируемое оборудование</w:t>
            </w:r>
          </w:p>
        </w:tc>
      </w:tr>
      <w:tr>
        <w:trPr>
          <w:trHeight w:val="986" w:hRule="atLeast"/>
        </w:trPr>
        <w:tc>
          <w:tcPr>
            <w:tcW w:w="7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contextualSpacing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eastAsia="Calibri" w:cs="Times New Roman"/>
                <w:b w:val="false"/>
                <w:bCs w:val="false"/>
                <w:sz w:val="24"/>
                <w:szCs w:val="24"/>
                <w:lang w:val="en-US" w:eastAsia="x-none"/>
              </w:rPr>
              <w:t>Измерительный комплекс СГ-ЭКВз-Р-0,75-25/1,6 в составе: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45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</w:t>
            </w:r>
          </w:p>
        </w:tc>
        <w:tc>
          <w:tcPr>
            <w:tcW w:w="20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i/>
                <w:i/>
                <w:iCs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Проектируемое оборудование</w:t>
            </w:r>
          </w:p>
        </w:tc>
      </w:tr>
      <w:tr>
        <w:trPr>
          <w:trHeight w:val="795" w:hRule="atLeast"/>
        </w:trPr>
        <w:tc>
          <w:tcPr>
            <w:tcW w:w="7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contextualSpacing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eastAsia="Calibri" w:cs="Times New Roman"/>
                <w:b w:val="false"/>
                <w:bCs w:val="false"/>
                <w:sz w:val="24"/>
                <w:szCs w:val="24"/>
                <w:lang w:val="en-US" w:eastAsia="x-none"/>
              </w:rPr>
              <w:t>- счетчик газа RVG G16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45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Типоразмер счетчика: G16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45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условного прохода: Ду 50 мм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45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Диапазон измерения </w:t>
            </w:r>
            <w:r>
              <w:rPr>
                <w:rFonts w:eastAsia="Calibri" w:cs="Times New Roman"/>
                <w:b w:val="false"/>
                <w:bCs w:val="false"/>
                <w:sz w:val="24"/>
                <w:szCs w:val="24"/>
                <w:lang w:val="en-US" w:eastAsia="x-none"/>
              </w:rPr>
              <w:t>Qmin/Qmax: 0,8 – 25 м3/ч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45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 w:val="false"/>
                <w:sz w:val="24"/>
                <w:szCs w:val="24"/>
                <w:lang w:val="en-US" w:eastAsia="x-none"/>
              </w:rPr>
              <w:t>Макс. рабочее давление: 1,6 МПа</w:t>
            </w:r>
          </w:p>
        </w:tc>
        <w:tc>
          <w:tcPr>
            <w:tcW w:w="20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 w:val="false"/>
                <w:bCs w:val="false"/>
                <w:i/>
                <w:i/>
                <w:iCs/>
              </w:rPr>
            </w:pPr>
            <w:r>
              <w:rPr>
                <w:b w:val="false"/>
                <w:bCs w:val="false"/>
                <w:i/>
                <w:iCs/>
              </w:rPr>
            </w:r>
          </w:p>
        </w:tc>
      </w:tr>
      <w:tr>
        <w:trPr>
          <w:trHeight w:val="1049" w:hRule="atLeast"/>
        </w:trPr>
        <w:tc>
          <w:tcPr>
            <w:tcW w:w="7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contextualSpacing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eastAsia="Calibri" w:cs="Times New Roman"/>
                <w:b w:val="false"/>
                <w:bCs w:val="false"/>
                <w:sz w:val="24"/>
                <w:szCs w:val="24"/>
                <w:lang w:val="en-US" w:eastAsia="x-none"/>
              </w:rPr>
              <w:t>- корректор газа ЕК 270 с датчиком давления и температуры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45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Модель корректора: ЕК270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45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Преобразователь давления: да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45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Преобразователь температуры: да</w:t>
            </w:r>
          </w:p>
        </w:tc>
        <w:tc>
          <w:tcPr>
            <w:tcW w:w="208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 w:val="false"/>
                <w:bCs w:val="false"/>
                <w:i/>
                <w:i/>
                <w:iCs/>
              </w:rPr>
            </w:pPr>
            <w:r>
              <w:rPr>
                <w:b w:val="false"/>
                <w:bCs w:val="false"/>
                <w:i/>
                <w:iCs/>
              </w:rPr>
            </w:r>
          </w:p>
        </w:tc>
      </w:tr>
      <w:tr>
        <w:trPr>
          <w:trHeight w:val="709" w:hRule="atLeast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contextualSpacing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eastAsia="Calibri" w:cs="Times New Roman"/>
                <w:b w:val="false"/>
                <w:bCs w:val="false"/>
                <w:sz w:val="24"/>
                <w:szCs w:val="24"/>
                <w:lang w:val="en-US" w:eastAsia="x-none"/>
              </w:rPr>
              <w:t>Котел водогрейный газовый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eastAsia="Calibri" w:cs="Times New Roman"/>
                <w:b w:val="false"/>
                <w:bCs w:val="false"/>
                <w:sz w:val="24"/>
                <w:szCs w:val="24"/>
                <w:lang w:val="en-US" w:eastAsia="x-none"/>
              </w:rPr>
              <w:t>Лемакс Классик-50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45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Номинальная теплопроизводительность: 50 кВт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45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КПД, не менее: 90%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45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Температура уходящих газов: 110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°</w:t>
            </w:r>
            <w:r>
              <w:rPr>
                <w:sz w:val="24"/>
                <w:szCs w:val="24"/>
              </w:rPr>
              <w:t>С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45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Номинальное давление газа: 1300 Па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45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расход газа: 5,5 м3/ч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45" w:leader="none"/>
              </w:tabs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Макс. температура воды на выходе из котла: 90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°</w:t>
            </w:r>
            <w:r>
              <w:rPr>
                <w:sz w:val="24"/>
                <w:szCs w:val="24"/>
              </w:rPr>
              <w:t>С</w:t>
            </w: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i/>
                <w:i/>
                <w:iCs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Проектируемое оборудование</w:t>
            </w:r>
          </w:p>
        </w:tc>
      </w:tr>
      <w:tr>
        <w:trPr>
          <w:trHeight w:val="709" w:hRule="atLeast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lineRule="auto" w:line="240" w:before="0" w:after="0"/>
              <w:ind w:left="-57" w:right="0" w:hanging="0"/>
              <w:contextualSpacing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eastAsia="Calibri" w:cs="Times New Roman"/>
                <w:b w:val="false"/>
                <w:bCs w:val="false"/>
                <w:sz w:val="24"/>
                <w:szCs w:val="24"/>
                <w:lang w:val="en-US" w:eastAsia="x-none"/>
              </w:rPr>
              <w:t>Счетчик природного газа диафграгменный, с термокомпенсацией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b w:val="false"/>
                <w:bCs w:val="false"/>
                <w:sz w:val="24"/>
                <w:szCs w:val="24"/>
                <w:lang w:val="en-US" w:eastAsia="x-none"/>
              </w:rPr>
              <w:t>Подобрать из максимального расхода на газовый котел</w:t>
            </w:r>
          </w:p>
        </w:tc>
        <w:tc>
          <w:tcPr>
            <w:tcW w:w="20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Проектируемое оборудование</w:t>
            </w:r>
          </w:p>
        </w:tc>
      </w:tr>
    </w:tbl>
    <w:p>
      <w:pPr>
        <w:pStyle w:val="Heading1"/>
        <w:keepLines/>
        <w:widowControl/>
        <w:numPr>
          <w:ilvl w:val="0"/>
          <w:numId w:val="0"/>
        </w:numPr>
        <w:tabs>
          <w:tab w:val="clear" w:pos="708"/>
          <w:tab w:val="left" w:pos="395" w:leader="none"/>
        </w:tabs>
        <w:suppressAutoHyphens w:val="false"/>
        <w:bidi w:val="0"/>
        <w:ind w:left="340" w:right="0" w:firstLine="227"/>
        <w:jc w:val="both"/>
        <w:rPr>
          <w:b w:val="false"/>
          <w:bCs w:val="false"/>
        </w:rPr>
      </w:pPr>
      <w:r>
        <w:rPr/>
      </w:r>
    </w:p>
    <w:p>
      <w:pPr>
        <w:pStyle w:val="Heading1"/>
        <w:widowControl/>
        <w:numPr>
          <w:ilvl w:val="0"/>
          <w:numId w:val="0"/>
        </w:numPr>
        <w:tabs>
          <w:tab w:val="clear" w:pos="708"/>
          <w:tab w:val="left" w:pos="395" w:leader="none"/>
        </w:tabs>
        <w:suppressAutoHyphens w:val="false"/>
        <w:bidi w:val="0"/>
        <w:ind w:left="340" w:right="0" w:firstLine="227"/>
        <w:jc w:val="both"/>
        <w:rPr>
          <w:b w:val="false"/>
          <w:bCs w:val="false"/>
        </w:rPr>
      </w:pPr>
      <w:r>
        <w:rPr>
          <w:b w:val="false"/>
          <w:bCs w:val="false"/>
          <w:sz w:val="24"/>
          <w:szCs w:val="24"/>
        </w:rPr>
        <w:t>Работы по проектированию должны быть выполнены в соответствии с требованиями следующей нормативно-</w:t>
      </w:r>
      <w:r>
        <w:rPr>
          <w:b w:val="false"/>
          <w:bCs w:val="false"/>
          <w:sz w:val="24"/>
          <w:szCs w:val="24"/>
        </w:rPr>
        <w:t xml:space="preserve">правовой и </w:t>
      </w:r>
      <w:r>
        <w:rPr>
          <w:b w:val="false"/>
          <w:bCs w:val="false"/>
          <w:sz w:val="24"/>
          <w:szCs w:val="24"/>
        </w:rPr>
        <w:t>технической документации: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395" w:leader="none"/>
        </w:tabs>
        <w:suppressAutoHyphens w:val="false"/>
        <w:bidi w:val="0"/>
        <w:ind w:left="340" w:right="0" w:firstLine="227"/>
        <w:jc w:val="both"/>
        <w:rPr>
          <w:b w:val="false"/>
          <w:bCs w:val="false"/>
        </w:rPr>
      </w:pPr>
      <w:r>
        <w:rPr>
          <w:b w:val="false"/>
          <w:bCs w:val="false"/>
          <w:sz w:val="24"/>
          <w:szCs w:val="24"/>
        </w:rPr>
        <w:t xml:space="preserve">- </w:t>
      </w:r>
      <w:r>
        <w:rPr>
          <w:b w:val="false"/>
          <w:bCs w:val="false"/>
          <w:sz w:val="24"/>
          <w:szCs w:val="24"/>
        </w:rPr>
        <w:t>Федеральный закон «О промышленной безопасности опасных производственных объектов» от 21.07.1997 № 116-ФЗ;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395" w:leader="none"/>
        </w:tabs>
        <w:suppressAutoHyphens w:val="false"/>
        <w:bidi w:val="0"/>
        <w:ind w:left="340" w:right="0" w:firstLine="227"/>
        <w:jc w:val="both"/>
        <w:rPr>
          <w:b w:val="false"/>
          <w:bCs w:val="false"/>
        </w:rPr>
      </w:pPr>
      <w:r>
        <w:rPr>
          <w:b w:val="false"/>
          <w:bCs w:val="false"/>
          <w:sz w:val="24"/>
          <w:szCs w:val="24"/>
        </w:rPr>
        <w:t xml:space="preserve">- </w:t>
      </w:r>
      <w:r>
        <w:rPr>
          <w:b w:val="false"/>
          <w:bCs w:val="false"/>
          <w:sz w:val="24"/>
          <w:szCs w:val="24"/>
        </w:rPr>
        <w:t>Постановление Правительства РФ от 29.10.2010 № 870 «Об утверждении технического регламента о безопасности сетей газораспределения и газопотребления»;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395" w:leader="none"/>
        </w:tabs>
        <w:suppressAutoHyphens w:val="false"/>
        <w:bidi w:val="0"/>
        <w:ind w:left="340" w:right="0" w:firstLine="227"/>
        <w:jc w:val="both"/>
        <w:rPr>
          <w:b w:val="false"/>
          <w:bCs w:val="false"/>
        </w:rPr>
      </w:pPr>
      <w:r>
        <w:rPr>
          <w:b w:val="false"/>
          <w:bCs w:val="false"/>
          <w:sz w:val="24"/>
          <w:szCs w:val="24"/>
        </w:rPr>
        <w:t xml:space="preserve">- </w:t>
      </w:r>
      <w:r>
        <w:rPr>
          <w:b w:val="false"/>
          <w:bCs w:val="false"/>
          <w:sz w:val="24"/>
          <w:szCs w:val="24"/>
        </w:rPr>
        <w:t>Приказ Ростехнадзора от 15.12.2020 № 531 «Об утверждении федеральных норм и правил в области промышленной безопасности «Правила безопасности сетей газораспределения и газопотребления»;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395" w:leader="none"/>
        </w:tabs>
        <w:suppressAutoHyphens w:val="false"/>
        <w:bidi w:val="0"/>
        <w:ind w:left="340" w:right="0" w:firstLine="227"/>
        <w:jc w:val="both"/>
        <w:rPr>
          <w:b w:val="false"/>
          <w:bCs w:val="false"/>
        </w:rPr>
      </w:pPr>
      <w:r>
        <w:rPr>
          <w:b w:val="false"/>
          <w:bCs w:val="false"/>
          <w:sz w:val="24"/>
          <w:szCs w:val="24"/>
        </w:rPr>
        <w:t>- ГОСТ Р 58095.0-2024. «Национальный стандарт Российской Федерации. Системы газораспределительные. Сети газопотребления. Часть 0. Общие положения»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395" w:leader="none"/>
        </w:tabs>
        <w:suppressAutoHyphens w:val="false"/>
        <w:bidi w:val="0"/>
        <w:ind w:left="340" w:right="0" w:firstLine="227"/>
        <w:jc w:val="both"/>
        <w:rPr>
          <w:b w:val="false"/>
          <w:bCs w:val="false"/>
        </w:rPr>
      </w:pPr>
      <w:r>
        <w:rPr>
          <w:b w:val="false"/>
          <w:bCs w:val="false"/>
          <w:sz w:val="24"/>
          <w:szCs w:val="24"/>
        </w:rPr>
        <w:t>- ГОСТ 34741-2021. «Межгосударственный стандарт. Системы газораспределительные. Требования к эксплуатации сетей газораспределения природного газа».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395" w:leader="none"/>
        </w:tabs>
        <w:suppressAutoHyphens w:val="false"/>
        <w:bidi w:val="0"/>
        <w:ind w:left="340" w:right="0" w:firstLine="227"/>
        <w:jc w:val="both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- </w:t>
      </w: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>СП 62.13330.2011 «</w:t>
      </w: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>Газораспределительные системы</w:t>
      </w: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>».</w:t>
      </w:r>
    </w:p>
    <w:p>
      <w:pPr>
        <w:pStyle w:val="Heading1"/>
        <w:numPr>
          <w:ilvl w:val="0"/>
          <w:numId w:val="0"/>
        </w:numPr>
        <w:tabs>
          <w:tab w:val="clear" w:pos="708"/>
          <w:tab w:val="left" w:pos="284" w:leader="none"/>
          <w:tab w:val="left" w:pos="567" w:leader="none"/>
        </w:tabs>
        <w:ind w:left="360" w:hanging="0"/>
        <w:jc w:val="center"/>
        <w:rPr>
          <w:sz w:val="24"/>
          <w:szCs w:val="24"/>
        </w:rPr>
      </w:pPr>
      <w:r>
        <w:rPr/>
      </w:r>
    </w:p>
    <w:p>
      <w:pPr>
        <w:pStyle w:val="Heading1"/>
        <w:numPr>
          <w:ilvl w:val="0"/>
          <w:numId w:val="7"/>
        </w:numPr>
        <w:tabs>
          <w:tab w:val="clear" w:pos="708"/>
          <w:tab w:val="left" w:pos="284" w:leader="none"/>
          <w:tab w:val="left" w:pos="567" w:leader="none"/>
        </w:tabs>
        <w:jc w:val="center"/>
        <w:rPr>
          <w:sz w:val="24"/>
          <w:szCs w:val="24"/>
        </w:rPr>
      </w:pPr>
      <w:bookmarkStart w:id="21" w:name="_Toc51339693"/>
      <w:bookmarkStart w:id="22" w:name="_Toc124494799"/>
      <w:r>
        <w:rPr>
          <w:iCs/>
          <w:sz w:val="24"/>
          <w:szCs w:val="24"/>
        </w:rPr>
        <w:t xml:space="preserve">Требования к </w:t>
      </w:r>
      <w:bookmarkEnd w:id="21"/>
      <w:bookmarkEnd w:id="22"/>
      <w:r>
        <w:rPr>
          <w:iCs/>
          <w:sz w:val="24"/>
          <w:szCs w:val="24"/>
        </w:rPr>
        <w:t>работам</w:t>
      </w:r>
    </w:p>
    <w:p>
      <w:pPr>
        <w:pStyle w:val="Heading4"/>
        <w:numPr>
          <w:ilvl w:val="0"/>
          <w:numId w:val="0"/>
        </w:numPr>
        <w:ind w:left="0" w:hanging="0"/>
        <w:rPr>
          <w:sz w:val="24"/>
          <w:szCs w:val="24"/>
        </w:rPr>
      </w:pPr>
      <w:bookmarkStart w:id="23" w:name="_Toc124494800"/>
      <w:r>
        <w:rPr>
          <w:sz w:val="24"/>
          <w:szCs w:val="24"/>
          <w:lang w:val="ru-RU"/>
        </w:rPr>
        <w:t xml:space="preserve">2.1. </w:t>
      </w:r>
      <w:r>
        <w:rPr>
          <w:sz w:val="24"/>
          <w:szCs w:val="24"/>
        </w:rPr>
        <w:t xml:space="preserve">Требования к объемам </w:t>
      </w:r>
      <w:r>
        <w:rPr>
          <w:sz w:val="24"/>
          <w:szCs w:val="24"/>
          <w:lang w:val="ru-RU"/>
        </w:rPr>
        <w:t>выполнения работ</w:t>
      </w:r>
      <w:bookmarkEnd w:id="23"/>
    </w:p>
    <w:p>
      <w:pPr>
        <w:pStyle w:val="Heading3"/>
        <w:numPr>
          <w:ilvl w:val="2"/>
          <w:numId w:val="7"/>
        </w:numPr>
        <w:rPr>
          <w:sz w:val="24"/>
          <w:szCs w:val="24"/>
        </w:rPr>
      </w:pPr>
      <w:bookmarkStart w:id="24" w:name="_Toc124494801"/>
      <w:r>
        <w:rPr>
          <w:sz w:val="24"/>
          <w:szCs w:val="24"/>
          <w:lang w:val="ru-RU"/>
        </w:rPr>
        <w:t>Требования к видам и объемам работ</w:t>
      </w:r>
      <w:bookmarkEnd w:id="24"/>
    </w:p>
    <w:p>
      <w:pPr>
        <w:pStyle w:val="Normal"/>
        <w:tabs>
          <w:tab w:val="clear" w:pos="708"/>
          <w:tab w:val="left" w:pos="1134" w:leader="none"/>
          <w:tab w:val="left" w:pos="1276" w:leader="none"/>
        </w:tabs>
        <w:spacing w:lineRule="auto" w:line="276"/>
        <w:ind w:firstLine="567"/>
        <w:jc w:val="both"/>
        <w:rPr>
          <w:sz w:val="24"/>
          <w:szCs w:val="24"/>
        </w:rPr>
      </w:pPr>
      <w:bookmarkStart w:id="25" w:name="_Toc51339695"/>
      <w:bookmarkStart w:id="26" w:name="_Toc124494802"/>
      <w:r>
        <w:rPr>
          <w:bCs/>
          <w:sz w:val="24"/>
          <w:szCs w:val="24"/>
        </w:rPr>
        <w:t>В состав Работ входят:</w:t>
      </w:r>
    </w:p>
    <w:p>
      <w:pPr>
        <w:pStyle w:val="Normal"/>
        <w:tabs>
          <w:tab w:val="clear" w:pos="708"/>
          <w:tab w:val="left" w:pos="1134" w:leader="none"/>
          <w:tab w:val="left" w:pos="1276" w:leader="none"/>
        </w:tabs>
        <w:spacing w:lineRule="auto" w:line="276"/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  <w:shd w:fill="auto" w:val="clear"/>
        </w:rPr>
        <w:t xml:space="preserve">1. Разработка и согласование с заказчиком основных технических решений </w:t>
      </w:r>
      <w:r>
        <w:rPr>
          <w:bCs/>
          <w:sz w:val="24"/>
          <w:szCs w:val="24"/>
          <w:shd w:fill="auto" w:val="clear"/>
        </w:rPr>
        <w:t>по техническому перевооружению сети газопотребления</w:t>
      </w:r>
      <w:r>
        <w:rPr>
          <w:bCs/>
          <w:sz w:val="24"/>
          <w:szCs w:val="24"/>
          <w:shd w:fill="auto" w:val="clear"/>
        </w:rPr>
        <w:t>;</w:t>
      </w:r>
    </w:p>
    <w:p>
      <w:pPr>
        <w:pStyle w:val="Normal"/>
        <w:tabs>
          <w:tab w:val="clear" w:pos="708"/>
          <w:tab w:val="left" w:pos="1134" w:leader="none"/>
          <w:tab w:val="left" w:pos="1276" w:leader="none"/>
        </w:tabs>
        <w:spacing w:lineRule="auto" w:line="276"/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  <w:shd w:fill="auto" w:val="clear"/>
        </w:rPr>
        <w:t xml:space="preserve">2.  </w:t>
      </w:r>
      <w:r>
        <w:rPr>
          <w:rFonts w:eastAsia="Calibri"/>
          <w:bCs/>
          <w:sz w:val="24"/>
          <w:szCs w:val="24"/>
          <w:shd w:fill="auto" w:val="clear"/>
          <w:lang w:eastAsia="x-none"/>
        </w:rPr>
        <w:t xml:space="preserve">Разработка </w:t>
      </w:r>
      <w:r>
        <w:rPr>
          <w:rFonts w:eastAsia="Calibri"/>
          <w:bCs/>
          <w:sz w:val="24"/>
          <w:szCs w:val="24"/>
          <w:shd w:fill="auto" w:val="clear"/>
          <w:lang w:eastAsia="x-none"/>
        </w:rPr>
        <w:t>проектно-сметной</w:t>
      </w:r>
      <w:r>
        <w:rPr>
          <w:rFonts w:eastAsia="Calibri"/>
          <w:bCs/>
          <w:sz w:val="24"/>
          <w:szCs w:val="24"/>
          <w:shd w:fill="auto" w:val="clear"/>
          <w:lang w:eastAsia="x-none"/>
        </w:rPr>
        <w:t xml:space="preserve"> документации</w:t>
      </w:r>
    </w:p>
    <w:p>
      <w:pPr>
        <w:pStyle w:val="Normal"/>
        <w:tabs>
          <w:tab w:val="clear" w:pos="708"/>
          <w:tab w:val="left" w:pos="1134" w:leader="none"/>
          <w:tab w:val="left" w:pos="1276" w:leader="none"/>
        </w:tabs>
        <w:spacing w:lineRule="auto" w:line="276"/>
        <w:ind w:firstLine="567"/>
        <w:jc w:val="both"/>
        <w:rPr>
          <w:sz w:val="24"/>
          <w:szCs w:val="24"/>
        </w:rPr>
      </w:pPr>
      <w:r>
        <w:rPr>
          <w:rFonts w:eastAsia="Calibri"/>
          <w:bCs/>
          <w:sz w:val="24"/>
          <w:szCs w:val="24"/>
          <w:shd w:fill="auto" w:val="clear"/>
          <w:lang w:eastAsia="x-none"/>
        </w:rPr>
        <w:t>3. Разработка рабочей документации</w:t>
      </w:r>
    </w:p>
    <w:p>
      <w:pPr>
        <w:pStyle w:val="Normal"/>
        <w:tabs>
          <w:tab w:val="clear" w:pos="708"/>
          <w:tab w:val="left" w:pos="1134" w:leader="none"/>
          <w:tab w:val="left" w:pos="1276" w:leader="none"/>
        </w:tabs>
        <w:spacing w:lineRule="auto" w:line="276"/>
        <w:ind w:firstLine="567"/>
        <w:jc w:val="both"/>
        <w:rPr>
          <w:sz w:val="24"/>
          <w:szCs w:val="24"/>
        </w:rPr>
      </w:pPr>
      <w:r>
        <w:rPr>
          <w:rFonts w:eastAsia="Calibri"/>
          <w:bCs/>
          <w:sz w:val="24"/>
          <w:szCs w:val="24"/>
          <w:shd w:fill="auto" w:val="clear"/>
          <w:lang w:eastAsia="x-none"/>
        </w:rPr>
        <w:t>4. Экспертиза промышленной безопасности проектной документации</w:t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  <w:t>Особые условия:</w:t>
      </w:r>
    </w:p>
    <w:p>
      <w:pPr>
        <w:pStyle w:val="Normal"/>
        <w:tabs>
          <w:tab w:val="clear" w:pos="708"/>
          <w:tab w:val="left" w:pos="851" w:leader="none"/>
          <w:tab w:val="left" w:pos="1134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Сбор всех необходимых для проектирования исходных данных осуществляет разработчик проектной документации за свой счет.</w:t>
      </w:r>
    </w:p>
    <w:p>
      <w:pPr>
        <w:pStyle w:val="Normal"/>
        <w:widowControl/>
        <w:tabs>
          <w:tab w:val="clear" w:pos="708"/>
          <w:tab w:val="left" w:pos="851" w:leader="none"/>
          <w:tab w:val="left" w:pos="1134" w:leader="none"/>
        </w:tabs>
        <w:suppressAutoHyphens w:val="false"/>
        <w:bidi w:val="0"/>
        <w:spacing w:before="0" w:after="0"/>
        <w:ind w:left="0" w:righ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Проектная организация обеспечивает согласование принятых решений с Заказчиком и внесение изменений в документацию в соответствии с замечаниями, полученными от Заказчика.</w:t>
      </w:r>
    </w:p>
    <w:p>
      <w:pPr>
        <w:pStyle w:val="Normal"/>
        <w:tabs>
          <w:tab w:val="clear" w:pos="708"/>
          <w:tab w:val="left" w:pos="851" w:leader="none"/>
          <w:tab w:val="left" w:pos="1134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Участник должен иметь право выполнять работы в отношении объектов:</w:t>
      </w:r>
    </w:p>
    <w:p>
      <w:pPr>
        <w:pStyle w:val="Normal"/>
        <w:tabs>
          <w:tab w:val="clear" w:pos="708"/>
          <w:tab w:val="left" w:pos="851" w:leader="none"/>
          <w:tab w:val="left" w:pos="1134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>опасных производственных объектов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5"/>
      <w:r>
        <w:rPr>
          <w:sz w:val="24"/>
          <w:szCs w:val="24"/>
          <w:lang w:val="ru-RU"/>
        </w:rPr>
        <w:t>и объем выполняемых работ</w:t>
      </w:r>
      <w:bookmarkEnd w:id="26"/>
    </w:p>
    <w:tbl>
      <w:tblPr>
        <w:tblW w:w="10348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67"/>
        <w:gridCol w:w="5097"/>
        <w:gridCol w:w="1594"/>
        <w:gridCol w:w="1409"/>
        <w:gridCol w:w="1681"/>
      </w:tblGrid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работ / этапа работ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работ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>
        <w:trPr/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4" w:hanging="34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0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4" w:leader="none"/>
              </w:tabs>
              <w:ind w:hanging="0"/>
              <w:jc w:val="both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 xml:space="preserve">Разработка </w:t>
            </w:r>
            <w:r>
              <w:rPr>
                <w:b w:val="false"/>
                <w:bCs w:val="false"/>
                <w:sz w:val="22"/>
                <w:szCs w:val="22"/>
              </w:rPr>
              <w:t xml:space="preserve">проектно-сметной и </w:t>
            </w:r>
            <w:r>
              <w:rPr>
                <w:b w:val="false"/>
                <w:bCs w:val="false"/>
                <w:sz w:val="22"/>
                <w:szCs w:val="22"/>
              </w:rPr>
              <w:t xml:space="preserve">рабочей документации, </w:t>
            </w:r>
            <w:r>
              <w:rPr>
                <w:b w:val="false"/>
                <w:bCs w:val="false"/>
                <w:sz w:val="22"/>
                <w:szCs w:val="22"/>
              </w:rPr>
              <w:t>экспертиза промышленной безопасности проектной документации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комплект</w:t>
            </w: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ListParagraph"/>
        <w:numPr>
          <w:ilvl w:val="0"/>
          <w:numId w:val="0"/>
        </w:numPr>
        <w:ind w:left="0"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numPr>
          <w:ilvl w:val="0"/>
          <w:numId w:val="0"/>
        </w:numPr>
        <w:ind w:left="0" w:hanging="0"/>
        <w:jc w:val="left"/>
        <w:rPr>
          <w:sz w:val="24"/>
          <w:szCs w:val="24"/>
        </w:rPr>
      </w:pPr>
      <w:r>
        <w:rPr>
          <w:b/>
          <w:sz w:val="24"/>
          <w:szCs w:val="24"/>
        </w:rPr>
        <w:t>2.2. Требования к срокам выполнения работ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bookmarkStart w:id="27" w:name="_Toc124494804"/>
      <w:bookmarkStart w:id="28" w:name="_Toc50125127"/>
      <w:bookmarkStart w:id="29" w:name="_Toc5133969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30" w:name="_Hlk50465284"/>
      <w:r>
        <w:rPr>
          <w:sz w:val="24"/>
          <w:szCs w:val="24"/>
        </w:rPr>
        <w:t xml:space="preserve">Требования по срокам </w:t>
      </w:r>
      <w:bookmarkEnd w:id="28"/>
      <w:bookmarkEnd w:id="29"/>
      <w:bookmarkEnd w:id="30"/>
      <w:r>
        <w:rPr>
          <w:sz w:val="24"/>
          <w:szCs w:val="24"/>
          <w:lang w:val="ru-RU"/>
        </w:rPr>
        <w:t>выполнения работ</w:t>
      </w:r>
      <w:bookmarkEnd w:id="27"/>
    </w:p>
    <w:tbl>
      <w:tblPr>
        <w:tblW w:w="104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26"/>
        <w:gridCol w:w="5208"/>
        <w:gridCol w:w="2193"/>
        <w:gridCol w:w="2397"/>
      </w:tblGrid>
      <w:tr>
        <w:trPr>
          <w:trHeight w:val="472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работ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выполнения работ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выполнения работ</w:t>
            </w:r>
          </w:p>
        </w:tc>
      </w:tr>
      <w:tr>
        <w:trPr>
          <w:trHeight w:val="806" w:hRule="atLeast"/>
        </w:trPr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4" w:leader="none"/>
              </w:tabs>
              <w:ind w:hanging="0"/>
              <w:jc w:val="both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iCs/>
                <w:sz w:val="22"/>
                <w:szCs w:val="22"/>
              </w:rPr>
              <w:t>Разработка проектно-сметной и рабочей документации, экспертиза промышленной безопасности проектной документации</w:t>
            </w:r>
          </w:p>
        </w:tc>
        <w:tc>
          <w:tcPr>
            <w:tcW w:w="2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заключения Договора</w:t>
            </w:r>
          </w:p>
        </w:tc>
        <w:tc>
          <w:tcPr>
            <w:tcW w:w="2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00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 </w:t>
            </w:r>
            <w:r>
              <w:rPr>
                <w:sz w:val="22"/>
                <w:szCs w:val="22"/>
              </w:rPr>
              <w:t>календарных дней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86" w:right="851" w:gutter="0" w:header="680" w:top="737" w:footer="0" w:bottom="567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4"/>
        <w:numPr>
          <w:ilvl w:val="0"/>
          <w:numId w:val="0"/>
        </w:numPr>
        <w:ind w:left="360" w:hanging="0"/>
        <w:rPr>
          <w:sz w:val="24"/>
          <w:szCs w:val="24"/>
        </w:rPr>
      </w:pPr>
      <w:r>
        <w:rPr>
          <w:sz w:val="24"/>
          <w:szCs w:val="24"/>
        </w:rPr>
        <w:t xml:space="preserve">2.3. </w:t>
      </w:r>
      <w:bookmarkStart w:id="31" w:name="_Toc50125131"/>
      <w:bookmarkStart w:id="32" w:name="_Toc51339698"/>
      <w:bookmarkStart w:id="33" w:name="_Toc124494805"/>
      <w:r>
        <w:rPr>
          <w:sz w:val="24"/>
          <w:szCs w:val="24"/>
        </w:rPr>
        <w:t xml:space="preserve">Требования к </w:t>
      </w:r>
      <w:r>
        <w:rPr>
          <w:sz w:val="24"/>
          <w:szCs w:val="24"/>
          <w:lang w:val="ru-RU"/>
        </w:rPr>
        <w:t>качеству работ</w:t>
      </w:r>
      <w:bookmarkEnd w:id="33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bookmarkStart w:id="34" w:name="_Toc124494806"/>
      <w:r>
        <w:rPr>
          <w:sz w:val="24"/>
          <w:szCs w:val="24"/>
        </w:rPr>
        <w:t>Таблица</w:t>
      </w:r>
      <w:r>
        <w:rPr>
          <w:sz w:val="24"/>
          <w:szCs w:val="24"/>
          <w:lang w:val="ru-RU"/>
        </w:rPr>
        <w:t xml:space="preserve"> 4</w:t>
      </w:r>
      <w:r>
        <w:rPr>
          <w:sz w:val="24"/>
          <w:szCs w:val="24"/>
        </w:rPr>
        <w:t xml:space="preserve">. Требования к </w:t>
      </w:r>
      <w:bookmarkEnd w:id="31"/>
      <w:bookmarkEnd w:id="32"/>
      <w:r>
        <w:rPr>
          <w:sz w:val="24"/>
          <w:szCs w:val="24"/>
          <w:lang w:val="ru-RU"/>
        </w:rPr>
        <w:t>качеств</w:t>
      </w:r>
      <w:r>
        <w:rPr>
          <w:rFonts w:eastAsia="Calibri" w:cs="Times New Roman"/>
          <w:b/>
          <w:color w:val="auto"/>
          <w:kern w:val="0"/>
          <w:sz w:val="24"/>
          <w:szCs w:val="24"/>
          <w:lang w:val="x-none" w:eastAsia="x-none" w:bidi="ar-SA"/>
        </w:rPr>
        <w:t>у рабо</w:t>
      </w:r>
      <w:r>
        <w:rPr>
          <w:rFonts w:eastAsia="Calibri" w:cs="Times New Roman"/>
          <w:b/>
          <w:color w:val="auto"/>
          <w:kern w:val="0"/>
          <w:sz w:val="24"/>
          <w:szCs w:val="24"/>
          <w:lang w:val="x-none" w:eastAsia="x-none" w:bidi="ar-SA"/>
        </w:rPr>
        <w:t>т</w:t>
      </w:r>
      <w:r>
        <w:rPr>
          <w:rStyle w:val="Style8"/>
          <w:rFonts w:eastAsia="Calibri" w:cs="Times New Roman"/>
          <w:b/>
          <w:bCs/>
          <w:i w:val="false"/>
          <w:iCs w:val="false"/>
          <w:color w:val="000000"/>
          <w:kern w:val="0"/>
          <w:sz w:val="24"/>
          <w:szCs w:val="24"/>
          <w:shd w:fill="auto" w:val="clear"/>
          <w:lang w:val="x-none" w:eastAsia="x-none" w:bidi="ar-SA"/>
        </w:rPr>
        <w:t xml:space="preserve">: </w:t>
      </w:r>
      <w:r>
        <w:rPr>
          <w:rStyle w:val="Style8"/>
          <w:rFonts w:eastAsia="Calibri" w:cs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shd w:fill="auto" w:val="clear"/>
          <w:lang w:val="x-none" w:eastAsia="x-none" w:bidi="ar-SA"/>
        </w:rPr>
        <w:t>«</w:t>
      </w:r>
      <w:r>
        <w:rPr>
          <w:rStyle w:val="Style8"/>
          <w:rFonts w:eastAsia="Calibri" w:cs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x-none" w:bidi="ar-SA"/>
        </w:rPr>
        <w:t>Техническое перевооружение сети газопотребления ГДЭС с. Люксюгюн Кобяйских ЭС АО «Сахаэнерго</w:t>
      </w:r>
      <w:r>
        <w:rPr>
          <w:rStyle w:val="Style8"/>
          <w:rFonts w:eastAsia="Calibri" w:cs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shd w:fill="auto" w:val="clear"/>
          <w:lang w:val="x-none" w:eastAsia="x-none" w:bidi="ar-SA"/>
        </w:rPr>
        <w:t>»</w:t>
      </w:r>
      <w:r>
        <w:rPr>
          <w:rFonts w:eastAsia="Calibri" w:cs="Times New Roman"/>
          <w:b/>
          <w:color w:val="auto"/>
          <w:kern w:val="0"/>
          <w:sz w:val="24"/>
          <w:szCs w:val="24"/>
          <w:lang w:val="x-none" w:eastAsia="x-none" w:bidi="ar-SA"/>
        </w:rPr>
        <w:t xml:space="preserve">, указанных в </w:t>
      </w:r>
      <w:r>
        <w:rPr>
          <w:sz w:val="24"/>
          <w:szCs w:val="24"/>
          <w:lang w:val="ru-RU"/>
        </w:rPr>
        <w:t>Таблице 2.</w:t>
      </w:r>
      <w:bookmarkEnd w:id="34"/>
    </w:p>
    <w:tbl>
      <w:tblPr>
        <w:tblStyle w:val="af"/>
        <w:tblW w:w="15395" w:type="dxa"/>
        <w:jc w:val="left"/>
        <w:tblInd w:w="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91"/>
        <w:gridCol w:w="3518"/>
        <w:gridCol w:w="557"/>
        <w:gridCol w:w="6752"/>
        <w:gridCol w:w="2208"/>
        <w:gridCol w:w="1569"/>
      </w:tblGrid>
      <w:tr>
        <w:trPr/>
        <w:tc>
          <w:tcPr>
            <w:tcW w:w="79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351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7309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377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79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51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7309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20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56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791" w:type="dxa"/>
            <w:tcBorders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351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730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220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56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79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0827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выполнению работ</w:t>
            </w:r>
          </w:p>
        </w:tc>
        <w:tc>
          <w:tcPr>
            <w:tcW w:w="220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9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hanging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1.1.</w:t>
            </w:r>
          </w:p>
        </w:tc>
        <w:tc>
          <w:tcPr>
            <w:tcW w:w="10827" w:type="dxa"/>
            <w:gridSpan w:val="3"/>
            <w:tcBorders/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Требования к рабочей документации</w:t>
            </w:r>
          </w:p>
        </w:tc>
        <w:tc>
          <w:tcPr>
            <w:tcW w:w="2208" w:type="dxa"/>
            <w:tcBorders/>
          </w:tcPr>
          <w:p>
            <w:pPr>
              <w:pStyle w:val="Normal"/>
              <w:widowControl w:val="false"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569" w:type="dxa"/>
            <w:tcBorders/>
          </w:tcPr>
          <w:p>
            <w:pPr>
              <w:pStyle w:val="Normal"/>
              <w:widowControl w:val="false"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9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1.1.1</w:t>
            </w:r>
          </w:p>
        </w:tc>
        <w:tc>
          <w:tcPr>
            <w:tcW w:w="10827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val="ru-RU" w:eastAsia="ru-RU" w:bidi="ar-SA"/>
              </w:rPr>
              <w:t>Требования к конструктивным решения</w:t>
            </w:r>
          </w:p>
        </w:tc>
        <w:tc>
          <w:tcPr>
            <w:tcW w:w="2208" w:type="dxa"/>
            <w:vMerge w:val="restart"/>
            <w:tcBorders>
              <w:top w:val="nil"/>
            </w:tcBorders>
          </w:tcPr>
          <w:p>
            <w:pPr>
              <w:pStyle w:val="Normal"/>
              <w:widowControl w:val="false"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ListParagraph"/>
              <w:widowControl w:val="false"/>
              <w:numPr>
                <w:ilvl w:val="0"/>
              </w:numPr>
              <w:tabs>
                <w:tab w:val="clear" w:pos="708"/>
                <w:tab w:val="left" w:pos="426" w:leader="none"/>
              </w:tabs>
              <w:suppressAutoHyphens w:val="false"/>
              <w:bidi w:val="0"/>
              <w:spacing w:lineRule="auto" w:line="360" w:before="60" w:after="0"/>
              <w:ind w:left="57" w:right="0" w:hanging="0"/>
              <w:contextualSpacing w:val="false"/>
              <w:jc w:val="both"/>
              <w:rPr/>
            </w:pPr>
            <w:r>
              <w:rPr>
                <w:rStyle w:val="Style8"/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Участник должен предоставить в заявке согласие выполнить работы, полностью соответствующие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1569" w:type="dxa"/>
            <w:vMerge w:val="restart"/>
            <w:tcBorders>
              <w:top w:val="nil"/>
            </w:tcBorders>
          </w:tcPr>
          <w:p>
            <w:pPr>
              <w:pStyle w:val="Normal"/>
              <w:widowControl w:val="false"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9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hanging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0827" w:type="dxa"/>
            <w:gridSpan w:val="3"/>
            <w:tcBorders>
              <w:top w:val="nil"/>
            </w:tcBorders>
            <w:vAlign w:val="center"/>
          </w:tcPr>
          <w:p>
            <w:pPr>
              <w:pStyle w:val="Heading1"/>
              <w:keepLines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09" w:leader="none"/>
                <w:tab w:val="left" w:pos="395" w:leader="none"/>
              </w:tabs>
              <w:suppressAutoHyphens w:val="false"/>
              <w:bidi w:val="0"/>
              <w:spacing w:lineRule="auto" w:line="240" w:before="120" w:after="60"/>
              <w:ind w:left="113" w:right="0" w:firstLine="227"/>
              <w:jc w:val="both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Работы по проектированию должны быть выполнены в соответствии с требованиями следующей нормативно-технической документации: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09" w:leader="none"/>
                <w:tab w:val="left" w:pos="395" w:leader="none"/>
              </w:tabs>
              <w:suppressAutoHyphens w:val="false"/>
              <w:bidi w:val="0"/>
              <w:ind w:left="113" w:right="0" w:firstLine="227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- ГОСТ Р 58095.0-2024. «Национальный стандарт Российской Федерации. Системы газораспределительные. Сети газопотребления. Часть 0. Общие положения»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09" w:leader="none"/>
                <w:tab w:val="left" w:pos="395" w:leader="none"/>
              </w:tabs>
              <w:suppressAutoHyphens w:val="false"/>
              <w:bidi w:val="0"/>
              <w:ind w:left="113" w:right="0" w:firstLine="227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- ГОСТ 34741-2021. «Межгосударственный стандарт. Системы газораспределительные. Требования к эксплуатации сетей газораспределения природного газа»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109" w:leader="none"/>
                <w:tab w:val="left" w:pos="395" w:leader="none"/>
              </w:tabs>
              <w:suppressAutoHyphens w:val="false"/>
              <w:bidi w:val="0"/>
              <w:ind w:left="113" w:right="0" w:firstLine="227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ru-RU" w:bidi="ar-SA"/>
              </w:rPr>
              <w:t xml:space="preserve">- </w:t>
            </w: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ru-RU" w:bidi="ar-SA"/>
              </w:rPr>
              <w:t>СП 62.13330.2011 «</w:t>
            </w: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ru-RU" w:bidi="ar-SA"/>
              </w:rPr>
              <w:t>Газораспределительные системы</w:t>
            </w: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24"/>
                <w:szCs w:val="24"/>
                <w:lang w:val="ru-RU" w:eastAsia="ru-RU" w:bidi="ar-SA"/>
              </w:rPr>
              <w:t>»</w:t>
            </w:r>
          </w:p>
        </w:tc>
        <w:tc>
          <w:tcPr>
            <w:tcW w:w="2208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56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9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hanging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1.1.2</w:t>
            </w:r>
          </w:p>
        </w:tc>
        <w:tc>
          <w:tcPr>
            <w:tcW w:w="10827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Требования к разработке сметной документации</w:t>
            </w:r>
          </w:p>
        </w:tc>
        <w:tc>
          <w:tcPr>
            <w:tcW w:w="2208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56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9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hanging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0827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ind w:left="0" w:right="0" w:firstLine="454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Требования к выполнению сметной документации.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ind w:left="0" w:right="0" w:firstLine="454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1.Локальные сметные расчеты составлять на основе действующих единичных расценок (ФЕР, ФЕРр, ФЕРм, ФЕРп,) утвержденных, зарегистрированных в установленном порядке и внесенных в Федеральный реестр сметных нормативов Министерства строительства и жилищно-коммунального хозяйства Российской Федерации (далее – Минстрой России);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ind w:left="0" w:right="0" w:firstLine="454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2. Сметную часть (сводный сметный расчет) выполнить в двух уровнях цен: в базисных ценах 2001 года и текущих ценах;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ind w:left="0" w:right="0" w:firstLine="454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3. Стоимость материально-технических ресурсов (далее – МТР) (не учтенных в расценках) определять по сборнику сметных цен на материалы, утвержденного в установленном порядке и внесенного в Федеральный реестр сметных нормативов;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ind w:left="0" w:right="0" w:firstLine="454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4. При отсутствии необходимой номенклатуры МТР по сборнику допускается определять стоимость МТР на основании прайс-листов в текущем уровне (в сметах в графе «обоснование» указывать дату/период действия и изготовителя/поставщика), при этом цены не должны превышать средних цен по региону расположения;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ind w:left="0" w:right="0" w:firstLine="454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5. В сметных расчетах при исключении и добавлении ресурсов (материалов) необходимо данные ресурсы относить в отдельную позицию, не допускается изменение внутри расценки;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ind w:left="0" w:right="0" w:firstLine="454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6. При использовании в сметах коэффициентов и лимитированных затрат указывать обоснование из технической части, вводных указаний сборников или других нормативных документов и приложений к ним;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ind w:left="0" w:right="0" w:firstLine="454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7. В локальных сметах указывать величину накладных расходов и сметной прибыли по видам строительных, ремонтно-строительных, монтажных и пусконаладочных работ, на основании нормативных документов, внесенных в Федеральный реестр сметных нормативов;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ind w:left="0" w:right="0" w:firstLine="454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8. Сметную документацию составить с использованием программного комплекса «ГРАНД-Смета» версии не ниже 7.0. Допускается наличие аналогичных программных продуктов, которые должны полностью поддерживать форматы указанного ПО заказчика, с набором функций, не уступающих указанному ПО и схожим с ним интерфейсом;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ind w:left="0" w:right="0" w:firstLine="454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9. Сметную документацию предоставить в двух вариантах: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ind w:left="0" w:right="0" w:firstLine="454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-на бумажном носителе;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ind w:left="0" w:right="0" w:firstLine="454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-на электронном носителе (в формате ПК «Гранд-Смета» и Excel), полностью соответствующему бумажному варианту.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ind w:left="0" w:right="0" w:firstLine="454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10. В составе сметной документации (сводного сметного расчета и локальных сметных расчетов) должны быть выделены отдельные сметные расчеты относящиеся строительству СЭС с СНЭ, а также ПНР.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ind w:left="0" w:right="0" w:firstLine="454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2"/>
                <w:szCs w:val="22"/>
                <w:lang w:val="ru-RU" w:eastAsia="ru-RU" w:bidi="ar-SA"/>
              </w:rPr>
              <w:t>11. Составить пояснительную записку к сметной документации.</w:t>
            </w:r>
          </w:p>
        </w:tc>
        <w:tc>
          <w:tcPr>
            <w:tcW w:w="2208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56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9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hanging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1.2</w:t>
            </w:r>
          </w:p>
        </w:tc>
        <w:tc>
          <w:tcPr>
            <w:tcW w:w="10827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5" w:leader="none"/>
                <w:tab w:val="left" w:pos="573" w:leader="none"/>
              </w:tabs>
              <w:ind w:left="0" w:right="0" w:hanging="0"/>
              <w:jc w:val="both"/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val="ru-RU" w:eastAsia="ru-RU" w:bidi="ar-SA"/>
              </w:rPr>
              <w:t>Согласование с Заказчиком рабочей документации</w:t>
            </w:r>
          </w:p>
        </w:tc>
        <w:tc>
          <w:tcPr>
            <w:tcW w:w="2208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56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9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hanging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0827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505" w:leader="none"/>
                <w:tab w:val="left" w:pos="573" w:leader="none"/>
              </w:tabs>
              <w:ind w:left="0" w:right="0" w:firstLine="454"/>
              <w:jc w:val="both"/>
              <w:rPr>
                <w:rFonts w:ascii="Times New Roman" w:hAnsi="Times New Roman" w:eastAsia="Calibri" w:cs="Times New Roman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1. Рабочую документацию (РД) выполнить в соответствии с ГОСТ Р 21.101-2020 «Система проектной документации для строительства. Основные требования к проектной и рабочей документации». Ориентировочный состав рабочей документации (корректируется в процессе проектирования).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05" w:leader="none"/>
                <w:tab w:val="left" w:pos="573" w:leader="none"/>
              </w:tabs>
              <w:ind w:left="0" w:right="0" w:firstLine="454"/>
              <w:jc w:val="both"/>
              <w:rPr>
                <w:rFonts w:ascii="Times New Roman" w:hAnsi="Times New Roman" w:eastAsia="Calibri" w:cs="Times New Roman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2. По всем разделам РД выполнить необходимые рабочие чертежи и схемы, полный пакет документов достаточный для выполнения строительно-монтажных работ, а также для проверки работ Техническим надзором и при необходимости другими заинтересованными лицами.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05" w:leader="none"/>
                <w:tab w:val="left" w:pos="573" w:leader="none"/>
              </w:tabs>
              <w:ind w:left="0" w:right="0" w:firstLine="454"/>
              <w:jc w:val="both"/>
              <w:rPr>
                <w:rFonts w:ascii="Times New Roman" w:hAnsi="Times New Roman" w:eastAsia="Calibri" w:cs="Times New Roman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3. В рабочей документации предусмотреть детализованные чертежи узлов и соединений конструктивных элементов, в т.ч. обеспечивающих возможность изготовления изделий в цеховых условиях.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05" w:leader="none"/>
                <w:tab w:val="left" w:pos="573" w:leader="none"/>
              </w:tabs>
              <w:ind w:left="0" w:right="0" w:firstLine="454"/>
              <w:jc w:val="both"/>
              <w:rPr>
                <w:rFonts w:ascii="Times New Roman" w:hAnsi="Times New Roman" w:eastAsia="Calibri" w:cs="Times New Roman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4. К каждому разделу рабочей документации предусмотреть сводную детальную спецификацию материалов и оборудования.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05" w:leader="none"/>
                <w:tab w:val="left" w:pos="573" w:leader="none"/>
              </w:tabs>
              <w:ind w:left="0" w:right="0" w:firstLine="454"/>
              <w:jc w:val="both"/>
              <w:rPr>
                <w:rFonts w:ascii="Times New Roman" w:hAnsi="Times New Roman" w:eastAsia="Calibri" w:cs="Times New Roman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Times New Roman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5. РД в полном объеме представить Заказчику в 2-х экземплярах на бумажном носителе, в 1 экз. в электронном виде (в формате AlterOffice Atext, PDF) и в электронных архивах данных (7z) в формате dwg, dxf.</w:t>
            </w:r>
          </w:p>
        </w:tc>
        <w:tc>
          <w:tcPr>
            <w:tcW w:w="2208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56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9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hanging="0"/>
              <w:contextualSpacing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10827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оформлению документации</w:t>
            </w:r>
          </w:p>
        </w:tc>
        <w:tc>
          <w:tcPr>
            <w:tcW w:w="2208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91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  <w:t>2.1</w:t>
            </w:r>
          </w:p>
        </w:tc>
        <w:tc>
          <w:tcPr>
            <w:tcW w:w="4075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Документы, передаваемые заказчику по результатам выполненных работ</w:t>
            </w:r>
          </w:p>
        </w:tc>
        <w:tc>
          <w:tcPr>
            <w:tcW w:w="675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Вся рабочая документация разрабатывается и предоставляется в соответствии с </w:t>
            </w:r>
            <w:r>
              <w:rPr>
                <w:sz w:val="22"/>
                <w:szCs w:val="22"/>
                <w:shd w:fill="auto" w:val="clear"/>
              </w:rPr>
              <w:t xml:space="preserve">постановлением Правительства РФ №87 от 16.02.2008 г., </w:t>
            </w:r>
            <w:r>
              <w:rPr>
                <w:rFonts w:cs="" w:cstheme="minorBidi"/>
                <w:sz w:val="22"/>
                <w:szCs w:val="22"/>
                <w:shd w:fill="FFFFFF" w:val="clear"/>
              </w:rPr>
              <w:t>Градо</w:t>
            </w:r>
            <w:r>
              <w:rPr>
                <w:sz w:val="22"/>
                <w:szCs w:val="22"/>
                <w:shd w:fill="auto" w:val="clear"/>
              </w:rPr>
              <w:t>строительного кодекса Росси</w:t>
            </w:r>
            <w:r>
              <w:rPr>
                <w:sz w:val="22"/>
                <w:szCs w:val="22"/>
              </w:rPr>
              <w:t xml:space="preserve">йской Федерации </w:t>
            </w:r>
            <w:r>
              <w:rPr>
                <w:rFonts w:cs="" w:cstheme="minorBidi"/>
                <w:sz w:val="22"/>
                <w:szCs w:val="22"/>
                <w:shd w:fill="FFFFFF" w:val="clear"/>
              </w:rPr>
              <w:t xml:space="preserve">пунктом 12 ст.48 </w:t>
            </w:r>
            <w:r>
              <w:rPr>
                <w:sz w:val="22"/>
                <w:szCs w:val="22"/>
              </w:rPr>
              <w:t>и другими нормативами, действующими на территории Российской Федерации, применяемыми к данному типу объектов.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Проектировщик передает Заказчику результаты проектных работ в следующем формате и количестве: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- 2 (два) комплекта Документации, включая полноразмерные чертежи, пояснительные записки, калькуляции, спецификации.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Цифровые копии и правила для электронных файлов чертежей: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 чертежи должны быть в формате AutoCAD, </w:t>
            </w:r>
            <w:r>
              <w:rPr>
                <w:rFonts w:eastAsia="Calibri" w:cs="Times New Roman"/>
                <w:bCs/>
                <w:color w:val="auto"/>
                <w:kern w:val="0"/>
                <w:sz w:val="22"/>
                <w:szCs w:val="22"/>
                <w:lang w:val="ru-RU" w:eastAsia="ru-RU" w:bidi="ar-SA"/>
              </w:rPr>
              <w:t>AlterOffice</w:t>
            </w:r>
            <w:r>
              <w:rPr>
                <w:sz w:val="22"/>
                <w:szCs w:val="22"/>
              </w:rPr>
              <w:t>, Adobe Acrobat. Чертежи должны быть аккуратными, правильными, согласующимися с другими чертежами, строительными и инженерными спецификациями и иметь унифицированный вид. Избегать повторения одной и той же информации на разных чертежах.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Элементы файла выполняются только в двухмерном (плоском) формате.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Рабочую документацию оформить в соответствии с требованиям</w:t>
            </w: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 xml:space="preserve">и </w:t>
            </w:r>
            <w:r>
              <w:rPr>
                <w:rFonts w:eastAsia="Times New Roman" w:cs="" w:cstheme="minorBidi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ГОСТ Р 21.101-2020</w:t>
            </w:r>
            <w:r>
              <w:rPr>
                <w:rFonts w:eastAsia="Times New Roman" w:cs="Times New Roman"/>
                <w:kern w:val="0"/>
                <w:sz w:val="22"/>
                <w:szCs w:val="22"/>
                <w:shd w:fill="auto" w:val="clear"/>
                <w:lang w:val="ru-RU" w:eastAsia="ru-RU" w:bidi="ar-SA"/>
              </w:rPr>
              <w:t xml:space="preserve"> «Система проектной документации для строительства. Основны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е требования к проектной и рабочей документации» и  другими нормативами, действующими на территории Российской Федерации.</w:t>
            </w:r>
          </w:p>
        </w:tc>
        <w:tc>
          <w:tcPr>
            <w:tcW w:w="2208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9" w:type="dxa"/>
            <w:vMerge w:val="continue"/>
            <w:tcBorders>
              <w:top w:val="nil"/>
            </w:tcBorders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791" w:type="dxa"/>
            <w:tcBorders/>
            <w:vAlign w:val="center"/>
          </w:tcPr>
          <w:p>
            <w:pPr>
              <w:pStyle w:val="ListParagraph"/>
              <w:widowControl w:val="false"/>
              <w:suppressAutoHyphens w:val="false"/>
              <w:bidi w:val="0"/>
              <w:spacing w:before="60" w:after="60"/>
              <w:ind w:left="624" w:right="680" w:hanging="624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10827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pacing w:before="4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соблюдению положений нормативной и иной обязательной для Подрядчика документации, определяемой видами работ (помимо указанных в других разделах ТТ)</w:t>
            </w:r>
          </w:p>
        </w:tc>
        <w:tc>
          <w:tcPr>
            <w:tcW w:w="2208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91" w:type="dxa"/>
            <w:tcBorders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570" w:leader="none"/>
              </w:tabs>
              <w:suppressAutoHyphens w:val="false"/>
              <w:bidi w:val="0"/>
              <w:spacing w:before="60" w:after="60"/>
              <w:ind w:left="0" w:right="113" w:hanging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10827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 xml:space="preserve">- </w:t>
            </w: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Федеральный закон «О промышленной безопасности опасных производственных объектов» от 21.07.1997 № 116-ФЗ;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- </w:t>
            </w:r>
            <w:r>
              <w:rPr>
                <w:b w:val="false"/>
                <w:bCs w:val="false"/>
                <w:sz w:val="24"/>
                <w:szCs w:val="24"/>
              </w:rPr>
              <w:t>Постановление Правительства РФ от 29.10.2010 № 870 «Об утверждении технического регламента о безопасности сетей газораспределения и газопотребления»;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 xml:space="preserve">- </w:t>
            </w: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Приказ Ростехнадзора от 15.12.2020 № 531 «Об утверждении федеральных норм и правил в области промышленной безопасности «Правила безопасности сетей газораспределения и газопотребления»;</w:t>
            </w:r>
          </w:p>
        </w:tc>
        <w:tc>
          <w:tcPr>
            <w:tcW w:w="2208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9" w:type="dxa"/>
            <w:vMerge w:val="continue"/>
            <w:tcBorders>
              <w:top w:val="nil"/>
            </w:tcBorders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79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10827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pacing w:before="2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ответственности и гарантиям подрядчика</w:t>
            </w:r>
          </w:p>
        </w:tc>
        <w:tc>
          <w:tcPr>
            <w:tcW w:w="2208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91" w:type="dxa"/>
            <w:tcBorders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4.1.</w:t>
            </w:r>
          </w:p>
        </w:tc>
        <w:tc>
          <w:tcPr>
            <w:tcW w:w="4075" w:type="dxa"/>
            <w:gridSpan w:val="2"/>
            <w:tcBorders/>
          </w:tcPr>
          <w:p>
            <w:pPr>
              <w:pStyle w:val="Normal"/>
              <w:widowControl w:val="false"/>
              <w:spacing w:before="4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Ответственность Подрядчика</w:t>
            </w:r>
          </w:p>
        </w:tc>
        <w:tc>
          <w:tcPr>
            <w:tcW w:w="675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ответственности Подрядчика смотреть в Разделе Договора.</w:t>
            </w:r>
          </w:p>
        </w:tc>
        <w:tc>
          <w:tcPr>
            <w:tcW w:w="2208" w:type="dxa"/>
            <w:vMerge w:val="continue"/>
            <w:tcBorders>
              <w:top w:val="nil"/>
            </w:tcBorders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56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9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10827" w:type="dxa"/>
            <w:gridSpan w:val="3"/>
            <w:tcBorders/>
            <w:vAlign w:val="center"/>
          </w:tcPr>
          <w:p>
            <w:pPr>
              <w:pStyle w:val="Normal"/>
              <w:keepNext w:val="true"/>
              <w:widowControl w:val="fals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подрядчику (и субподрядчикам) и его обязательствам, влияющим на исполнение договора</w:t>
            </w:r>
          </w:p>
        </w:tc>
        <w:tc>
          <w:tcPr>
            <w:tcW w:w="2208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9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79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0" w:hanging="0"/>
              <w:contextualSpacing/>
              <w:jc w:val="center"/>
              <w:rPr>
                <w:b w:val="false"/>
                <w:bCs w:val="false"/>
              </w:rPr>
            </w:pPr>
            <w:r>
              <w:rPr>
                <w:rFonts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5.1</w:t>
            </w:r>
          </w:p>
        </w:tc>
        <w:tc>
          <w:tcPr>
            <w:tcW w:w="4075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субподрядным организациям, привлекаемым к выполнению работ</w:t>
            </w:r>
          </w:p>
        </w:tc>
        <w:tc>
          <w:tcPr>
            <w:tcW w:w="675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 случае привлечения к выполнению работ субподрядных организаций подрядчик обязан представить заказчику на момент согласования договора документы, подтверждающие соответствие их квалификационного уровня, а также готовность и возможность выполнения ими работ, с учетом требований Договора.</w:t>
            </w:r>
          </w:p>
        </w:tc>
        <w:tc>
          <w:tcPr>
            <w:tcW w:w="2208" w:type="dxa"/>
            <w:vMerge w:val="continue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69" w:type="dxa"/>
            <w:vMerge w:val="continue"/>
            <w:tcBorders>
              <w:top w:val="nil"/>
            </w:tcBorders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</w:tr>
    </w:tbl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Heading1"/>
        <w:numPr>
          <w:ilvl w:val="0"/>
          <w:numId w:val="0"/>
        </w:numPr>
        <w:ind w:left="426" w:hanging="0"/>
        <w:rPr>
          <w:sz w:val="24"/>
          <w:szCs w:val="24"/>
        </w:rPr>
      </w:pPr>
      <w:r>
        <w:rPr>
          <w:sz w:val="24"/>
          <w:szCs w:val="24"/>
        </w:rPr>
        <w:t>3. Требования к документации по ценообразованию на этапе закупки</w:t>
      </w:r>
      <w:r>
        <w:rPr>
          <w:sz w:val="24"/>
          <w:szCs w:val="24"/>
          <w:lang w:val="ru-RU"/>
        </w:rPr>
        <w:t>.</w:t>
      </w:r>
    </w:p>
    <w:p>
      <w:pPr>
        <w:pStyle w:val="Style38"/>
        <w:widowControl/>
        <w:numPr>
          <w:ilvl w:val="0"/>
          <w:numId w:val="0"/>
        </w:numPr>
        <w:suppressAutoHyphens w:val="false"/>
        <w:bidi w:val="0"/>
        <w:spacing w:before="0" w:after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 с указанием понижающего коэффициента. (величину данного коэффициента рекомендуется учитывать с округлением до 7 знаков после запятой).</w:t>
        <w:br/>
        <w:t>3.2. Дополнительные документы по ценообразованию (сметная документация) в состав заявки Участника не включаются.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851" w:leader="none"/>
        </w:tabs>
        <w:ind w:left="0" w:hanging="0"/>
        <w:jc w:val="both"/>
        <w:rPr>
          <w:bCs/>
        </w:rPr>
      </w:pPr>
      <w:r>
        <w:rPr>
          <w:bCs/>
        </w:rPr>
      </w:r>
    </w:p>
    <w:p>
      <w:pPr>
        <w:pStyle w:val="Heading1"/>
        <w:keepLines/>
        <w:numPr>
          <w:ilvl w:val="0"/>
          <w:numId w:val="0"/>
        </w:numPr>
        <w:ind w:left="357" w:hanging="0"/>
        <w:jc w:val="left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4. </w:t>
      </w:r>
      <w:bookmarkStart w:id="35" w:name="_Toc54646412"/>
      <w:r>
        <w:rPr>
          <w:sz w:val="24"/>
          <w:szCs w:val="24"/>
          <w:lang w:val="ru-RU"/>
        </w:rPr>
        <w:t>Требования к документации по ценообразованию на этапе заключения договора</w:t>
      </w:r>
      <w:bookmarkEnd w:id="35"/>
      <w:r>
        <w:rPr>
          <w:sz w:val="24"/>
          <w:szCs w:val="24"/>
          <w:lang w:val="ru-RU"/>
        </w:rPr>
        <w:t>.</w:t>
      </w:r>
    </w:p>
    <w:p>
      <w:pPr>
        <w:pStyle w:val="Heading1"/>
        <w:numPr>
          <w:ilvl w:val="0"/>
          <w:numId w:val="0"/>
        </w:numPr>
        <w:ind w:left="0" w:hanging="0"/>
        <w:jc w:val="left"/>
        <w:rPr>
          <w:sz w:val="24"/>
          <w:szCs w:val="24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ru-RU" w:eastAsia="ru-RU" w:bidi="ar-SA"/>
        </w:rPr>
        <w:t>4.1.   На этапе заключения договора Участник предоставляет сметы, сформированные путем применения к сметам, разработанным заказчиком, понижающего коэффициента.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426" w:leader="none"/>
        </w:tabs>
        <w:suppressAutoHyphens w:val="false"/>
        <w:bidi w:val="0"/>
        <w:spacing w:before="60" w:after="0"/>
        <w:ind w:left="0" w:right="0" w:hanging="0"/>
        <w:jc w:val="both"/>
        <w:rPr>
          <w:sz w:val="24"/>
          <w:szCs w:val="24"/>
        </w:rPr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4.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2</w:t>
      </w:r>
      <w:r>
        <w:rPr>
          <w:rFonts w:eastAsia="Times New Roman" w:cs="Times New Roman"/>
          <w:color w:val="auto"/>
          <w:kern w:val="0"/>
          <w:sz w:val="24"/>
          <w:szCs w:val="24"/>
          <w:lang w:val="ru-RU" w:eastAsia="ru-RU" w:bidi="ar-SA"/>
        </w:rPr>
        <w:t>.   Внесение изменений в сметную документацию заказчика, кроме применения понижающего коэффициента, не допускается.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/>
      </w:r>
    </w:p>
    <w:sectPr>
      <w:headerReference w:type="default" r:id="rId5"/>
      <w:headerReference w:type="first" r:id="rId6"/>
      <w:type w:val="nextPage"/>
      <w:pgSz w:orient="landscape" w:w="16838" w:h="11906"/>
      <w:pgMar w:left="992" w:right="1134" w:gutter="0" w:header="680" w:top="1134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 w:val="false"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revisionView w:insDel="0" w:formatting="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caption" w:uiPriority="35" w:qFormat="1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uiPriority="10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uiPriority="11" w:semiHidden="0" w:unhideWhenUsed="0" w:qFormat="1"/>
    <w:lsdException w:name="Hyperlink" w:uiPriority="99"/>
    <w:lsdException w:name="Strong" w:semiHidden="0" w:unhideWhenUsed="0" w:qFormat="1"/>
    <w:lsdException w:name="Emphasis" w:uiPriority="20" w:semiHidden="0" w:unhideWhenUsed="0" w:qFormat="1"/>
    <w:lsdException w:name="E-mail Signature" w:uiPriority="99"/>
    <w:lsdException w:name="Normal (Web)" w:uiPriority="99"/>
    <w:lsdException w:name="No List" w:uiPriority="99"/>
    <w:lsdException w:name="Balloon Text" w:uiPriority="99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2166f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1">
    <w:name w:val="Strong1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3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Текст выноски Знак"/>
    <w:link w:val="BalloonText"/>
    <w:uiPriority w:val="99"/>
    <w:semiHidden/>
    <w:qFormat/>
    <w:rsid w:val="00531f1a"/>
    <w:rPr>
      <w:rFonts w:ascii="Tahoma" w:hAnsi="Tahoma" w:cs="Tahoma"/>
      <w:sz w:val="16"/>
      <w:szCs w:val="16"/>
    </w:rPr>
  </w:style>
  <w:style w:type="character" w:styleId="Style15">
    <w:name w:val="Ссылка указателя"/>
    <w:qFormat/>
    <w:rPr/>
  </w:style>
  <w:style w:type="character" w:styleId="Style16">
    <w:name w:val="Маркеры"/>
    <w:qFormat/>
    <w:rPr>
      <w:rFonts w:ascii="OpenSymbol" w:hAnsi="OpenSymbol" w:eastAsia="OpenSymbol" w:cs="Open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OpenSymbol;Arial Unicode MS" w:hAnsi="OpenSymbol;Arial Unicode MS" w:cs="OpenSymbol;Arial Unicode MS"/>
    </w:rPr>
  </w:style>
  <w:style w:type="character" w:styleId="WW8Num13z0">
    <w:name w:val="WW8Num13z0"/>
    <w:qFormat/>
    <w:rPr>
      <w:rFonts w:ascii="Symbol" w:hAnsi="Symbol" w:cs="Times New Roman"/>
      <w:b/>
      <w:sz w:val="28"/>
      <w:szCs w:val="28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2z0">
    <w:name w:val="WW8Num2z0"/>
    <w:qFormat/>
    <w:rPr>
      <w:rFonts w:cs="Times New Roman"/>
      <w:strike/>
      <w:color w:val="FF0000"/>
    </w:rPr>
  </w:style>
  <w:style w:type="character" w:styleId="WW8Num2z1">
    <w:name w:val="WW8Num2z1"/>
    <w:qFormat/>
    <w:rPr>
      <w:rFonts w:cs="Times New Roman"/>
    </w:rPr>
  </w:style>
  <w:style w:type="character" w:styleId="WW8Num7z0">
    <w:name w:val="WW8Num7z0"/>
    <w:qFormat/>
    <w:rPr>
      <w:rFonts w:cs="Times New Roman"/>
      <w:strike/>
      <w:color w:val="FF0000"/>
    </w:rPr>
  </w:style>
  <w:style w:type="character" w:styleId="WW8Num7z1">
    <w:name w:val="WW8Num7z1"/>
    <w:qFormat/>
    <w:rPr>
      <w:rFonts w:cs="Times New Roman"/>
    </w:rPr>
  </w:style>
  <w:style w:type="character" w:styleId="WW8Num7z2">
    <w:name w:val="WW8Num7z2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OpenSymbol;Arial Unicode MS"/>
    </w:rPr>
  </w:style>
  <w:style w:type="character" w:styleId="WW8Num11z1">
    <w:name w:val="WW8Num11z1"/>
    <w:qFormat/>
    <w:rPr>
      <w:rFonts w:ascii="OpenSymbol;Arial Unicode MS" w:hAnsi="OpenSymbol;Arial Unicode MS" w:cs="OpenSymbol;Arial Unicode MS"/>
    </w:rPr>
  </w:style>
  <w:style w:type="character" w:styleId="WW8Num10z0">
    <w:name w:val="WW8Num10z0"/>
    <w:qFormat/>
    <w:rPr>
      <w:rFonts w:ascii="Symbol" w:hAnsi="Symbol" w:cs="OpenSymbol;Arial Unicode MS"/>
    </w:rPr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4z0">
    <w:name w:val="WW8Num4z0"/>
    <w:qFormat/>
    <w:rPr>
      <w:rFonts w:ascii="Symbol" w:hAnsi="Symbol" w:cs="Symbol"/>
    </w:rPr>
  </w:style>
  <w:style w:type="character" w:styleId="Strong2">
    <w:name w:val="Strong2"/>
    <w:qFormat/>
    <w:rPr>
      <w:b/>
      <w:bCs/>
    </w:rPr>
  </w:style>
  <w:style w:type="character" w:styleId="Apple-converted-space">
    <w:name w:val="apple-converted-space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2">
    <w:name w:val="WW8Num15z2"/>
    <w:qFormat/>
    <w:rPr>
      <w:rFonts w:ascii="OpenSymbol;Arial Unicode MS" w:hAnsi="OpenSymbol;Arial Unicode M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OpenSymbol;Arial Unicode MS" w:hAnsi="OpenSymbol;Arial Unicode MS" w:cs="Courier New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rFonts w:ascii="OpenSymbol;Arial Unicode MS" w:hAnsi="OpenSymbol;Arial Unicode MS" w:cs="Times New Roman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OpenSymbol;Arial Unicode MS" w:hAnsi="OpenSymbol;Arial Unicode MS" w:cs="Times New Roman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OpenSymbol;Arial Unicode MS" w:hAnsi="OpenSymbol;Arial Unicode MS" w:cs="Courier New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OpenSymbol;Arial Unicode MS" w:hAnsi="OpenSymbol;Arial Unicode MS" w:cs="Times New Roman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OpenSymbol;Arial Unicode MS" w:hAnsi="OpenSymbol;Arial Unicode MS" w:cs="Times New Roman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3z1">
    <w:name w:val="WW8Num23z1"/>
    <w:qFormat/>
    <w:rPr>
      <w:rFonts w:ascii="OpenSymbol;Arial Unicode MS" w:hAnsi="OpenSymbol;Arial Unicode MS" w:cs="Courier New"/>
    </w:rPr>
  </w:style>
  <w:style w:type="character" w:styleId="Strong">
    <w:name w:val="Strong"/>
    <w:qFormat/>
    <w:rPr>
      <w:b/>
      <w:bCs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522e76"/>
    <w:pPr>
      <w:tabs>
        <w:tab w:val="clear" w:pos="708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a945ef"/>
    <w:pPr>
      <w:tabs>
        <w:tab w:val="clear" w:pos="708"/>
        <w:tab w:val="left" w:pos="1120" w:leader="none"/>
        <w:tab w:val="right" w:pos="9911" w:leader="dot"/>
      </w:tabs>
      <w:ind w:left="567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link w:val="Style14"/>
    <w:uiPriority w:val="99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a945ef"/>
    <w:pPr>
      <w:tabs>
        <w:tab w:val="clear" w:pos="708"/>
        <w:tab w:val="left" w:pos="1120" w:leader="none"/>
        <w:tab w:val="right" w:pos="9911" w:leader="dot"/>
      </w:tabs>
      <w:ind w:left="567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5">
    <w:name w:val="Содержимое врезки"/>
    <w:basedOn w:val="Normal"/>
    <w:qFormat/>
    <w:pPr/>
    <w:rPr/>
  </w:style>
  <w:style w:type="paragraph" w:styleId="Style36">
    <w:name w:val="Содержимое таблицы"/>
    <w:basedOn w:val="Normal"/>
    <w:qFormat/>
    <w:pPr>
      <w:widowControl w:val="false"/>
      <w:suppressLineNumbers/>
    </w:pPr>
    <w:rPr/>
  </w:style>
  <w:style w:type="paragraph" w:styleId="Style37">
    <w:name w:val="Заголовок таблицы"/>
    <w:basedOn w:val="Style36"/>
    <w:qFormat/>
    <w:pPr>
      <w:suppressLineNumbers/>
      <w:jc w:val="center"/>
    </w:pPr>
    <w:rPr>
      <w:b/>
      <w:bCs/>
    </w:rPr>
  </w:style>
  <w:style w:type="paragraph" w:styleId="Style38">
    <w:name w:val="Абзац списка"/>
    <w:basedOn w:val="Normal"/>
    <w:qFormat/>
    <w:pPr>
      <w:ind w:left="708" w:right="0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6113102341">
    <w:name w:val="6113102341"/>
    <w:qFormat/>
  </w:style>
  <w:style w:type="numbering" w:styleId="22478027591">
    <w:name w:val="22478027591"/>
    <w:qFormat/>
  </w:style>
  <w:style w:type="numbering" w:styleId="WW8Num9">
    <w:name w:val="WW8Num9"/>
    <w:qFormat/>
  </w:style>
  <w:style w:type="numbering" w:styleId="WW8Num13">
    <w:name w:val="WW8Num13"/>
    <w:qFormat/>
  </w:style>
  <w:style w:type="numbering" w:styleId="WW8Num12">
    <w:name w:val="WW8Num12"/>
    <w:qFormat/>
  </w:style>
  <w:style w:type="numbering" w:styleId="WW8Num2">
    <w:name w:val="WW8Num2"/>
    <w:qFormat/>
  </w:style>
  <w:style w:type="numbering" w:styleId="WW8Num7">
    <w:name w:val="WW8Num7"/>
    <w:qFormat/>
  </w:style>
  <w:style w:type="numbering" w:styleId="WW8Num11">
    <w:name w:val="WW8Num11"/>
    <w:qFormat/>
  </w:style>
  <w:style w:type="numbering" w:styleId="WW8Num10">
    <w:name w:val="WW8Num10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8">
    <w:name w:val="WW8Num8"/>
    <w:qFormat/>
  </w:style>
  <w:style w:type="numbering" w:styleId="WW8Num6">
    <w:name w:val="WW8Num6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5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9C906-2587-4DA4-90F5-8FF76C64A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4980</TotalTime>
  <Application>AlterOffice/3.4.0.8$Linux_X86_64 LibreOffice_project/8f3f3c847f0b8d6fea24e251d3d8ed4f23cbe23c</Application>
  <AppVersion>15.0000</AppVersion>
  <Pages>11</Pages>
  <Words>2231</Words>
  <Characters>15344</Characters>
  <CharactersWithSpaces>17255</CharactersWithSpaces>
  <Paragraphs>334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2023-10-17T01:24:00Z</dcterms:created>
  <dc:creator>Быстров Олег Геннадьевич</dc:creator>
  <dc:description/>
  <dc:language>ru-RU</dc:language>
  <cp:lastModifiedBy>ievlevvn@sed.local</cp:lastModifiedBy>
  <cp:lastPrinted>2025-11-19T13:59:52Z</cp:lastPrinted>
  <dcterms:modified xsi:type="dcterms:W3CDTF">2026-06-29T15:27:18Z</dcterms:modified>
  <cp:revision>293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