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f1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8"/>
        <w:gridCol w:w="1491"/>
        <w:gridCol w:w="408"/>
        <w:gridCol w:w="1953"/>
        <w:gridCol w:w="332"/>
        <w:gridCol w:w="277"/>
        <w:gridCol w:w="4539"/>
      </w:tblGrid>
      <w:tr>
        <w:trPr>
          <w:trHeight w:val="634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«УТВЕРЖДАЮ»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И. о. директора Камчатского филиала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__________________А.С. Рудаков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«___» _______________ 2026 год</w:t>
            </w:r>
          </w:p>
        </w:tc>
      </w:tr>
      <w:tr>
        <w:trPr>
          <w:trHeight w:val="190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284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488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165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>10.06.2026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________________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9" w:hRule="atLeast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Закупки у единственного поставщика (исполнителя, подрядчика) в электронной форме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 лоту №2019-ЭКСП ПРОД-2027-ТК-КФ на ОКПД 2: 29.32.30.163 Услуг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по оснащению ТС тахографами, по замене блоков СКЗИ на тахографах, по обслуживанию тахографов для нужд Камчатского филиала АО «ТК РусГидро»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поставщиков в рамках Закупки у единственного поставщика (исполнителя, подрядчика) в электронной форме по лоту № 2019-ЭКСП ПРОД-2027-ТК-КФ на ОКПД 2: 29.32.30.163 Услуг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 оснащению ТС тахографами, по замене блоков СКЗИ на тахографах, по обслуживанию тахографов для нужд Камчатского филиала АО «ТК РусГидро».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7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не позднее срока окончания подачи заявок.</w:t>
      </w:r>
      <w:bookmarkStart w:id="0" w:name="_GoBack"/>
      <w:bookmarkEnd w:id="0"/>
    </w:p>
    <w:p>
      <w:pPr>
        <w:pStyle w:val="Normal"/>
        <w:numPr>
          <w:ilvl w:val="0"/>
          <w:numId w:val="3"/>
        </w:numPr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ответственного лица: Заместителя директора КФ Рудакова Андрея Сергеевича, +7 (4152) 300-827,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rudakovas</w:t>
      </w:r>
      <w:r>
        <w:rPr>
          <w:rFonts w:cs="Times New Roman" w:ascii="Times New Roman" w:hAnsi="Times New Roman"/>
        </w:rPr>
        <w:t>@rushydro.ru</w:t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sectPr>
      <w:headerReference w:type="default" r:id="rId3"/>
      <w:type w:val="nextPage"/>
      <w:pgSz w:w="11906" w:h="16838"/>
      <w:pgMar w:left="1701" w:right="709" w:gutter="0" w:header="709" w:top="1134" w:footer="0" w:bottom="851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0357858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52074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D6ED-9A0E-4BC8-BE53-6DBF1674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Application>AlterOffice/2025.2.1.0$Linux_X86_64 LibreOffice_project/d2c615264c9535987c375e0f04a158be6015ce3d</Application>
  <AppVersion>15.0000</AppVersion>
  <Pages>2</Pages>
  <Words>566</Words>
  <Characters>3933</Characters>
  <CharactersWithSpaces>4438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2023-11-29T20:40:00Z</dcterms:created>
  <dc:creator>KirnosenkoEA</dc:creator>
  <dc:description/>
  <dc:language>ru-RU</dc:language>
  <cp:lastModifiedBy/>
  <cp:lastPrinted>2023-11-19T23:11:00Z</cp:lastPrinted>
  <dcterms:modified xsi:type="dcterms:W3CDTF">2026-06-29T18:38:17Z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