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sz w:val="26"/>
          <w:szCs w:val="26"/>
        </w:rPr>
      </w:pPr>
      <w:r>
        <w:rPr/>
        <w:t xml:space="preserve">ОКПД 2: 49.41.20.000 Услуги по предоставлению спецтехники и автотранспорта с экипажем для выполнения работ в п. Лесной для нужд Камчатского филиала </w:t>
        <w:br/>
        <w:t>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firstLine="63"/>
        <w:rPr>
          <w:caps/>
        </w:rPr>
      </w:pPr>
      <w:bookmarkStart w:id="0" w:name="_Toc54643694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0" w:firstLine="63"/>
        <w:rPr>
          <w:rStyle w:val="Style8"/>
          <w:b/>
          <w:i w:val="false"/>
          <w:i w:val="false"/>
          <w:shd w:fill="auto" w:val="clear"/>
        </w:rPr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color w:val="000000" w:themeColor="text1"/>
                <w:lang w:val="x-none" w:eastAsia="x-none"/>
              </w:rPr>
            </w:pPr>
            <w:r>
              <w:rPr>
                <w:rFonts w:eastAsia="Calibri"/>
                <w:color w:val="000000" w:themeColor="text1"/>
                <w:lang w:eastAsia="x-none"/>
              </w:rPr>
              <w:t>М</w:t>
            </w:r>
            <w:r>
              <w:rPr>
                <w:rFonts w:eastAsia="Calibri"/>
                <w:color w:val="000000" w:themeColor="text1"/>
                <w:lang w:val="x-none" w:eastAsia="x-none"/>
              </w:rPr>
              <w:t>. куб.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color w:val="000000" w:themeColor="text1"/>
                <w:lang w:val="x-none" w:eastAsia="x-none"/>
              </w:rPr>
            </w:pPr>
            <w:r>
              <w:rPr>
                <w:rFonts w:eastAsia="Calibri"/>
                <w:color w:val="000000" w:themeColor="text1"/>
                <w:lang w:val="x-none" w:eastAsia="x-none"/>
              </w:rPr>
              <w:t>Метры кубические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firstLine="63"/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jc w:val="both"/>
        <w:rPr/>
      </w:pPr>
      <w:bookmarkStart w:id="5" w:name="_Toc54643697"/>
      <w:r>
        <w:rPr/>
        <w:t xml:space="preserve">ОКПД 2: 49.41.20.000 Услуги по предоставлению спецтехники и автотранспорта с экипажем для выполнения работ в п. Лесной для нужд Камчатского филиала </w:t>
        <w:br/>
        <w:t>АО «ТК РусГидро»</w:t>
      </w:r>
    </w:p>
    <w:p>
      <w:pPr>
        <w:pStyle w:val="Heading4"/>
        <w:numPr>
          <w:ilvl w:val="1"/>
          <w:numId w:val="3"/>
        </w:numPr>
        <w:ind w:left="0" w:firstLine="63"/>
        <w:rPr/>
      </w:pPr>
      <w:bookmarkStart w:id="6" w:name="_Toc46743507"/>
      <w:r>
        <w:rPr/>
        <w:t xml:space="preserve">Цель </w:t>
      </w:r>
      <w:bookmarkEnd w:id="6"/>
      <w:r>
        <w:rPr/>
        <w:t>оказания услуг</w:t>
      </w:r>
      <w:bookmarkEnd w:id="5"/>
    </w:p>
    <w:p>
      <w:pPr>
        <w:pStyle w:val="Normal"/>
        <w:jc w:val="both"/>
        <w:rPr>
          <w:lang w:eastAsia="x-none"/>
        </w:rPr>
      </w:pPr>
      <w:r>
        <w:rPr>
          <w:lang w:eastAsia="x-none"/>
        </w:rPr>
        <w:t>Обеспечение выполнения обязательств Камчатского филиала АО «ТК РусГидро» перед ПАО «Камчатскэнерго» по обеспечению спецтехникой технологических процессов котельной в п. Лесной Елизовского района.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7" w:name="_Toc54643699"/>
      <w:r>
        <w:rPr/>
        <w:t>Таблица 1. Перечень объектов заказчика</w:t>
      </w:r>
      <w:bookmarkEnd w:id="7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60"/>
        <w:gridCol w:w="2128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Здание котельной и территории, прилегающей к ней, теплотрассы, электросетевые объекты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п. Лесной Елизовского муниципального района.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---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3402" w:firstLine="63"/>
        <w:rPr>
          <w:caps/>
          <w:lang w:val="ru-RU"/>
        </w:rPr>
      </w:pPr>
      <w:bookmarkStart w:id="8" w:name="_Toc51339693"/>
      <w:bookmarkStart w:id="9" w:name="_Toc54643702"/>
      <w:r>
        <w:rPr>
          <w:lang w:val="ru-RU"/>
        </w:rPr>
        <w:t>Требования</w:t>
      </w:r>
      <w:r>
        <w:rPr/>
        <w:t xml:space="preserve">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ind w:left="0" w:firstLine="63"/>
        <w:rPr/>
      </w:pPr>
      <w:bookmarkStart w:id="1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0"/>
    </w:p>
    <w:p>
      <w:pPr>
        <w:pStyle w:val="Heading3"/>
        <w:numPr>
          <w:ilvl w:val="2"/>
          <w:numId w:val="3"/>
        </w:numPr>
        <w:ind w:left="0" w:firstLine="63"/>
        <w:rPr/>
      </w:pPr>
      <w:bookmarkStart w:id="11" w:name="_Toc54643704"/>
      <w:r>
        <w:rPr/>
        <w:t>Требования к перечню и объему услуг</w:t>
      </w:r>
      <w:bookmarkEnd w:id="11"/>
    </w:p>
    <w:p>
      <w:pPr>
        <w:pStyle w:val="Heading1"/>
        <w:numPr>
          <w:ilvl w:val="0"/>
          <w:numId w:val="0"/>
        </w:numPr>
        <w:ind w:left="0" w:hanging="0"/>
        <w:rPr/>
      </w:pPr>
      <w:bookmarkStart w:id="12" w:name="_Toc54643705"/>
      <w:bookmarkStart w:id="13" w:name="_Toc51339695"/>
      <w:r>
        <w:rPr/>
        <w:t xml:space="preserve">Таблица 2. Перечень </w:t>
      </w:r>
      <w:bookmarkEnd w:id="13"/>
      <w:r>
        <w:rPr/>
        <w:t>и объем оказываемых услуг</w:t>
      </w:r>
      <w:bookmarkEnd w:id="12"/>
    </w:p>
    <w:tbl>
      <w:tblPr>
        <w:tblW w:w="96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8"/>
        <w:gridCol w:w="5844"/>
        <w:gridCol w:w="1701"/>
        <w:gridCol w:w="1414"/>
      </w:tblGrid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ind w:left="0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Фронтальный погрузчик, объем ковша не менее 1 м. куб.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нормо/час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440</w:t>
            </w:r>
          </w:p>
        </w:tc>
      </w:tr>
      <w:tr>
        <w:trPr>
          <w:trHeight w:val="85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ind w:left="0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Бульдозер гусеничный (ДТ-75 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нормо/час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88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jc w:val="both"/>
        <w:rPr>
          <w:bCs/>
          <w:i/>
          <w:i/>
          <w:sz w:val="24"/>
          <w:szCs w:val="24"/>
          <w:shd w:fill="FFFF99" w:val="clear"/>
        </w:rPr>
      </w:pPr>
      <w:r>
        <w:rPr>
          <w:lang w:val="x-none" w:eastAsia="x-none"/>
        </w:rPr>
        <w:t xml:space="preserve">*Объем услуг ориентировочный и может быть скорректирован исходя из производственных потребностей Заказчика, </w:t>
      </w:r>
      <w:r>
        <w:rPr>
          <w:lang w:eastAsia="x-none"/>
        </w:rPr>
        <w:t>в пределах общего лимита финансирования по договору</w:t>
      </w:r>
      <w:r>
        <w:rPr>
          <w:lang w:val="x-none" w:eastAsia="x-none"/>
        </w:rPr>
        <w:t>.</w:t>
      </w:r>
    </w:p>
    <w:p>
      <w:pPr>
        <w:pStyle w:val="Heading3"/>
        <w:numPr>
          <w:ilvl w:val="2"/>
          <w:numId w:val="3"/>
        </w:numPr>
        <w:ind w:left="0" w:firstLine="63"/>
        <w:rPr/>
      </w:pPr>
      <w:bookmarkStart w:id="14" w:name="_Toc54643706"/>
      <w:bookmarkStart w:id="15" w:name="_Toc51339696"/>
      <w:r>
        <w:rPr/>
        <w:t xml:space="preserve">Требования </w:t>
      </w:r>
      <w:bookmarkEnd w:id="15"/>
      <w:r>
        <w:rPr/>
        <w:t>к срокам оказания услуг</w:t>
      </w:r>
      <w:bookmarkEnd w:id="14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16" w:name="_Toc54643707"/>
      <w:bookmarkStart w:id="17" w:name="_Toc50125127"/>
      <w:bookmarkStart w:id="18" w:name="_Toc51339697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1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17"/>
      <w:bookmarkEnd w:id="18"/>
      <w:bookmarkEnd w:id="19"/>
      <w:r>
        <w:rPr>
          <w:lang w:val="ru-RU"/>
        </w:rPr>
        <w:t>оказания услуг</w:t>
      </w:r>
      <w:bookmarkEnd w:id="16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Фронтальный погрузчик, объем ковша не менее 1 м. куб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Бульдозер гусеничный (ДТ-75 или эквивалент)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</w:t>
            </w:r>
            <w:bookmarkStart w:id="20" w:name="_GoBack"/>
            <w:bookmarkEnd w:id="20"/>
            <w:r>
              <w:rPr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0" w:firstLine="63"/>
        <w:rPr/>
      </w:pPr>
      <w:bookmarkStart w:id="21" w:name="_Toc54643709"/>
      <w:bookmarkStart w:id="22" w:name="_Toc51339698"/>
      <w:bookmarkStart w:id="23" w:name="_Toc54643708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>качеству услуг</w:t>
      </w:r>
      <w:bookmarkEnd w:id="23"/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hd w:fill="auto" w:val="clear"/>
        </w:rPr>
      </w:pPr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22"/>
      <w:r>
        <w:rPr>
          <w:lang w:val="ru-RU"/>
        </w:rPr>
        <w:t>качеству услуг</w:t>
      </w:r>
      <w:bookmarkEnd w:id="21"/>
      <w:r>
        <w:rPr/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color w:val="000000"/>
          <w:sz w:val="24"/>
          <w:szCs w:val="24"/>
        </w:rPr>
        <w:t>Фронтальный погрузчик, объем ковша не менее 1 м. куб</w:t>
      </w:r>
      <w:r>
        <w:rPr/>
        <w:t>.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3"/>
        <w:gridCol w:w="2692"/>
        <w:gridCol w:w="2927"/>
        <w:gridCol w:w="274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5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Спецтехника и автотранспорт предоставляются по заявкам Заказчика с условием возможности переадресации между объектами.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Спецтехника привлекаются в соответствии с ее назначением по гуртовке (сбору и концентрации объемов) угля, шлака, подаче твердого топлива в котельную, расчистке территории объектов от снега и мусора, земляным работам (копка, планировка).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оказываемых услуг устанавливается Заказчиком по каждой единице техники по мере необходимости.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Спецтехника и автотранспорт должны базироваться на территории Елизовского муниципального района Камчатского края.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Спецтехника и автотранспорт выделяются с экипажем круглосуточно, по заявке уполномоченных лиц Заказчика, ответственных за организацию работы с Исполнителем.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предоставлять спецтехнику и автотранспорт под управлением квалифицированного персонала, имеющего действующие удостоверения на право управления транспортными средствами и дорожно-строительной техникой соответствующих категорий.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val="x-none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Фронтальный погрузчик, объем ковша не менее 1 м. куб.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предоставлять спецтехнику и автотранспорт под управлением квалифицированного персонала, имеющего действующие удостоверения на право управления транспортными средствами и дорожно-строительной техникой соответствующих категорий.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установлены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требованиями действующего законодательства регламентирующего данные виды работ/услуг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 оказании услуг Исполнитель должен руководствоваться нормативно-правовыми и нормативно-техническими документами РФ, в том числе:</w:t>
            </w:r>
          </w:p>
          <w:p>
            <w:pPr>
              <w:pStyle w:val="ListParagraph"/>
              <w:widowControl w:val="false"/>
              <w:numPr>
                <w:ilvl w:val="1"/>
                <w:numId w:val="8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(утв. постановлением Главного государственного санитарного врача Российской Федерации от 28 января 2021 года N 3);</w:t>
            </w:r>
          </w:p>
          <w:p>
            <w:pPr>
              <w:pStyle w:val="ListParagraph"/>
              <w:widowControl w:val="false"/>
              <w:numPr>
                <w:ilvl w:val="1"/>
                <w:numId w:val="8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Инструкция по организации и технологии механизированной уборки территорий населенных мест. М., Стройиздат, 1980;</w:t>
            </w:r>
          </w:p>
          <w:p>
            <w:pPr>
              <w:pStyle w:val="ListParagraph"/>
              <w:widowControl w:val="false"/>
              <w:numPr>
                <w:ilvl w:val="1"/>
                <w:numId w:val="8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Технический регламент Таможенного союза «О безопасности колесных транспортных средств» ТР ТС 108/2011 (утв. решением комиссии Таможенного союза от 9.12.2011г. №877);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Правила безопасности при проведении работ должны соответствовать Правилам по охране труда на автомобильном транспорте (утв. приказом Минтруда России от 18.12.2020 №871н).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44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44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Не установлено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iCs/>
          <w:shd w:fill="FFFF99" w:val="clear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Наименование услуг/этапа услуг (позиция №2 Таблицы 2): </w:t>
      </w:r>
      <w:r>
        <w:rPr>
          <w:color w:val="000000"/>
        </w:rPr>
        <w:t>Бульдозер гусеничный (ДТ-75 или эквивалент)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3"/>
        <w:gridCol w:w="2692"/>
        <w:gridCol w:w="2927"/>
        <w:gridCol w:w="274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Спецтехника и автотранспорт предоставляются по заявкам Заказчика с условием возможности переадресации между объектами.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Спецтехника привлекаются в соответствии с ее назначением по гуртовке (сбору и концентрации объемов) угля, шлака, подаче твердого топлива в котельную, расчистке территории объектов от снега и мусора, земляным работам (копка, планировка).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оказываемых услуг устанавливается Заказчиком по каждой единице техники по мере необходимости.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Спецтехника и автотранспорт должны базироваться на территории Елизовского муниципального района Камчатского края.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Спецтехника и автотранспорт выделяются с экипажем круглосуточно, по заявке уполномоченных лиц Заказчика, ответственных за организацию работы с Исполнителем.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предоставлять спецтехнику и автотранспорт под управлением квалифицированного персонала, имеющего действующие удостоверения на право управления транспортными средствами и дорожно-строительной техникой соответствующих категорий.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Бульдозер гусеничный (ДТ-75 или эквивалент)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предоставлять спецтехнику и автотранспорт под управлением квалифицированного персонала, имеющего действующие удостоверения на право управления транспортными средствами и дорожно-строительной техникой соответствующих категорий.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установлены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требованиями действующего законодательства регламентирующего данные виды работ/услуг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 оказании услуг Исполнитель должен руководствоваться нормативно-правовыми и нормативно-техническими документами РФ, в том числе:</w:t>
            </w:r>
          </w:p>
          <w:p>
            <w:pPr>
              <w:pStyle w:val="ListParagraph"/>
              <w:widowControl w:val="false"/>
              <w:numPr>
                <w:ilvl w:val="1"/>
                <w:numId w:val="8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(утв. постановлением Главного государственного санитарного врача Российской Федерации от 28 января 2021 года N 3);</w:t>
            </w:r>
          </w:p>
          <w:p>
            <w:pPr>
              <w:pStyle w:val="ListParagraph"/>
              <w:widowControl w:val="false"/>
              <w:numPr>
                <w:ilvl w:val="1"/>
                <w:numId w:val="8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Инструкция по организации и технологии механизированной уборки территорий населенных мест. М., Стройиздат, 1980;</w:t>
            </w:r>
          </w:p>
          <w:p>
            <w:pPr>
              <w:pStyle w:val="ListParagraph"/>
              <w:widowControl w:val="false"/>
              <w:numPr>
                <w:ilvl w:val="1"/>
                <w:numId w:val="8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Технический регламент Таможенного союза «О безопасности колесных транспортных средств» ТР ТС 108/2011 (утв. решением комиссии Таможенного союза от 9.12.2011г. №877);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hd w:val="clear" w:color="auto" w:fill="FFFFFF" w:themeFill="background1"/>
              <w:suppressAutoHyphens w:val="true"/>
              <w:spacing w:before="0" w:after="0"/>
              <w:ind w:left="537" w:hanging="53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Правила безопасности при проведении работ должны соответствовать Правилам по охране труда на автомобильном транспорте (утв. приказом Минтруда России от 18.12.2020 №871н).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44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44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договором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Не установлено</w:t>
            </w:r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jc w:val="center"/>
        <w:outlineLvl w:val="0"/>
        <w:rPr>
          <w:rFonts w:eastAsia="Calibri"/>
          <w:b/>
          <w:sz w:val="26"/>
          <w:szCs w:val="26"/>
          <w:lang w:val="x-none" w:eastAsia="x-none"/>
        </w:rPr>
      </w:pPr>
      <w:bookmarkStart w:id="26" w:name="_Toc143693887"/>
      <w:r>
        <w:rPr>
          <w:rFonts w:eastAsia="Calibri"/>
          <w:b/>
          <w:sz w:val="26"/>
          <w:szCs w:val="26"/>
          <w:lang w:val="x-none" w:eastAsia="x-none"/>
        </w:rPr>
        <w:t>3. Требования к документации по ценообразованию на этапе закупки</w:t>
      </w:r>
      <w:bookmarkEnd w:id="26"/>
    </w:p>
    <w:p>
      <w:pPr>
        <w:pStyle w:val="ListParagraph"/>
        <w:suppressAutoHyphens w:val="true"/>
        <w:spacing w:before="0" w:after="0"/>
        <w:ind w:left="0" w:firstLine="709"/>
        <w:contextualSpacing w:val="false"/>
        <w:jc w:val="both"/>
        <w:textAlignment w:val="baseline"/>
        <w:rPr>
          <w:bCs/>
          <w:iCs/>
          <w:sz w:val="26"/>
          <w:szCs w:val="26"/>
        </w:rPr>
      </w:pPr>
      <w:bookmarkStart w:id="27" w:name="_Toc133497159"/>
      <w:bookmarkStart w:id="28" w:name="_Toc141715140"/>
      <w:bookmarkStart w:id="29" w:name="_Toc143693888"/>
      <w:r>
        <w:rPr>
          <w:bCs/>
          <w:lang w:eastAsia="x-none"/>
        </w:rPr>
        <w:t xml:space="preserve">3.1. </w:t>
      </w:r>
      <w:bookmarkEnd w:id="27"/>
      <w:bookmarkEnd w:id="28"/>
      <w:bookmarkEnd w:id="29"/>
      <w:r>
        <w:rPr>
          <w:bCs/>
          <w:iCs/>
          <w:sz w:val="26"/>
          <w:szCs w:val="26"/>
        </w:rPr>
        <w:t>В обоснование стоимости своей заявки Участник предоставляет Коммерческое предложение по форме 7.3 (с учетом прилагаемой к ней инструкции по заполнению), приведенной в Документации о закупке.</w:t>
      </w:r>
    </w:p>
    <w:p>
      <w:pPr>
        <w:pStyle w:val="ListParagraph"/>
        <w:numPr>
          <w:ilvl w:val="1"/>
          <w:numId w:val="12"/>
        </w:numPr>
        <w:suppressAutoHyphens w:val="true"/>
        <w:spacing w:before="0" w:after="0"/>
        <w:ind w:left="0" w:firstLine="709"/>
        <w:contextualSpacing w:val="false"/>
        <w:jc w:val="both"/>
        <w:textAlignment w:val="baseline"/>
        <w:rPr/>
      </w:pPr>
      <w:r>
        <w:rPr>
          <w:bCs/>
          <w:iCs/>
          <w:sz w:val="26"/>
          <w:szCs w:val="26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 к Документации о закупке).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firstLine="567"/>
        <w:jc w:val="both"/>
        <w:outlineLvl w:val="3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ListParagraph"/>
        <w:keepNext w:val="true"/>
        <w:numPr>
          <w:ilvl w:val="0"/>
          <w:numId w:val="10"/>
        </w:numPr>
        <w:spacing w:before="120" w:after="60"/>
        <w:contextualSpacing/>
        <w:jc w:val="center"/>
        <w:outlineLvl w:val="0"/>
        <w:rPr>
          <w:b/>
          <w:sz w:val="26"/>
          <w:szCs w:val="26"/>
          <w:lang w:eastAsia="x-none"/>
        </w:rPr>
      </w:pPr>
      <w:bookmarkStart w:id="30" w:name="_Toc143693889"/>
      <w:r>
        <w:rPr>
          <w:b/>
          <w:sz w:val="26"/>
          <w:szCs w:val="26"/>
          <w:lang w:val="x-none" w:eastAsia="x-none"/>
        </w:rPr>
        <w:t>Требования к документации по ценообразованию на этапе заключения (исполнения) договора</w:t>
      </w:r>
      <w:bookmarkEnd w:id="30"/>
    </w:p>
    <w:p>
      <w:pPr>
        <w:pStyle w:val="Standard"/>
        <w:numPr>
          <w:ilvl w:val="1"/>
          <w:numId w:val="13"/>
        </w:numPr>
        <w:ind w:left="0" w:firstLine="720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iCs/>
          <w:sz w:val="26"/>
          <w:szCs w:val="26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каждой позиции товара), предложенными в заявке Победителем.</w:t>
      </w:r>
    </w:p>
    <w:p>
      <w:pPr>
        <w:pStyle w:val="Standard"/>
        <w:numPr>
          <w:ilvl w:val="1"/>
          <w:numId w:val="13"/>
        </w:numPr>
        <w:ind w:left="0" w:firstLine="720"/>
        <w:jc w:val="both"/>
        <w:rPr/>
      </w:pPr>
      <w:r>
        <w:rPr>
          <w:rFonts w:eastAsia="Calibri"/>
          <w:iCs/>
          <w:sz w:val="26"/>
          <w:szCs w:val="26"/>
        </w:rPr>
        <w:t>Порядок формировани</w:t>
      </w:r>
      <w:r>
        <w:rPr>
          <w:iCs/>
          <w:sz w:val="26"/>
          <w:szCs w:val="26"/>
        </w:rPr>
        <w:t>я</w:t>
      </w:r>
      <w:r>
        <w:rPr>
          <w:rFonts w:eastAsia="Calibri"/>
          <w:iCs/>
          <w:sz w:val="26"/>
          <w:szCs w:val="26"/>
        </w:rPr>
        <w:t xml:space="preserve"> на этапе исполнения договора стоимост</w:t>
      </w:r>
      <w:r>
        <w:rPr>
          <w:iCs/>
          <w:sz w:val="26"/>
          <w:szCs w:val="26"/>
        </w:rPr>
        <w:t>и</w:t>
      </w:r>
      <w:r>
        <w:rPr>
          <w:rFonts w:eastAsia="Calibri"/>
          <w:iCs/>
          <w:sz w:val="26"/>
          <w:szCs w:val="26"/>
        </w:rPr>
        <w:t xml:space="preserve"> отдельной партии поставляемого товара</w:t>
      </w:r>
      <w:r>
        <w:rPr>
          <w:rFonts w:eastAsia="Calibri"/>
          <w:b/>
          <w:bCs/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установлен в Проекте договора (Приложение № 2 к Документации о закупке).</w:t>
      </w:r>
    </w:p>
    <w:p>
      <w:pPr>
        <w:pStyle w:val="Normal"/>
        <w:keepNext w:val="true"/>
        <w:spacing w:before="120" w:after="60"/>
        <w:ind w:left="567" w:hanging="0"/>
        <w:contextualSpacing/>
        <w:jc w:val="both"/>
        <w:rPr>
          <w:rFonts w:eastAsia="Calibri"/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88" w:hanging="420"/>
      </w:pPr>
      <w:rPr>
        <w:sz w:val="26"/>
        <w:i w:val="false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3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866914"/>
    <w:pPr>
      <w:keepNext w:val="true"/>
      <w:numPr>
        <w:ilvl w:val="2"/>
        <w:numId w:val="3"/>
      </w:numPr>
      <w:spacing w:before="120" w:after="60"/>
      <w:ind w:left="0" w:firstLine="63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86691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7a35c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1579-076B-49B0-AB7A-1D7191C8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AlterOffice/2025.2.1.0$Linux_X86_64 LibreOffice_project/d2c615264c9535987c375e0f04a158be6015ce3d</Application>
  <AppVersion>15.0000</AppVersion>
  <Pages>31</Pages>
  <Words>1721</Words>
  <Characters>11478</Characters>
  <CharactersWithSpaces>12776</CharactersWithSpaces>
  <Paragraphs>418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2024-09-24T23:12:00Z</dcterms:created>
  <dc:creator>Быстров Олег Геннадьевич</dc:creator>
  <dc:description/>
  <dc:language>ru-RU</dc:language>
  <cp:lastModifiedBy/>
  <cp:lastPrinted>2024-09-23T23:11:00Z</cp:lastPrinted>
  <dcterms:modified xsi:type="dcterms:W3CDTF">2026-06-29T18:41:17Z</dcterms:modified>
  <cp:revision>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