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985" w:leader="none"/>
        </w:tabs>
        <w:spacing w:lineRule="auto" w:line="36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ОКПД 2: 71.20.14.000 Услуги по предрейсовому техническому контролю транспортных средств г. Билибино для нужд Камчатского филиал АО "ТК РусГидро".</w:t>
      </w:r>
    </w:p>
    <w:p>
      <w:pPr>
        <w:pStyle w:val="Normal"/>
        <w:keepNext w:val="true"/>
        <w:keepLines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sz w:val="26"/>
          <w:szCs w:val="26"/>
        </w:rPr>
        <w:t>Лот № 2021-ТО ПРОД-2027-ТК-КФ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35753767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5753768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5753771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5753772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753774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5753775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75377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575377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575378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753781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575378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753783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575378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753785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753786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_Toc135753786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35753767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35753768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58"/>
        <w:gridCol w:w="7524"/>
      </w:tblGrid>
      <w:tr>
        <w:trPr>
          <w:cantSplit w:val="true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</w:numPr>
              <w:tabs>
                <w:tab w:val="clear" w:pos="0"/>
              </w:tabs>
              <w:spacing w:before="120" w:after="60"/>
              <w:ind w:left="432" w:hanging="432"/>
              <w:rPr>
                <w:b w:val="false"/>
                <w:sz w:val="22"/>
                <w:szCs w:val="22"/>
              </w:rPr>
            </w:pPr>
            <w:bookmarkStart w:id="3" w:name="_Toc135753769"/>
            <w:bookmarkStart w:id="4" w:name="_Toc135752676"/>
            <w:r>
              <w:rPr>
                <w:b w:val="false"/>
                <w:sz w:val="22"/>
                <w:szCs w:val="22"/>
              </w:rPr>
              <w:t>АО «ТК РусГидро»</w:t>
            </w:r>
            <w:bookmarkEnd w:id="3"/>
            <w:bookmarkEnd w:id="4"/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</w:numPr>
              <w:tabs>
                <w:tab w:val="clear" w:pos="0"/>
              </w:tabs>
              <w:spacing w:before="120" w:after="60"/>
              <w:ind w:left="0" w:hanging="0"/>
              <w:rPr>
                <w:b w:val="false"/>
                <w:sz w:val="22"/>
                <w:szCs w:val="22"/>
              </w:rPr>
            </w:pPr>
            <w:bookmarkStart w:id="5" w:name="_Toc135753770"/>
            <w:bookmarkStart w:id="6" w:name="_Toc135752677"/>
            <w:r>
              <w:rPr>
                <w:b w:val="false"/>
                <w:sz w:val="22"/>
                <w:szCs w:val="22"/>
              </w:rPr>
              <w:t>Акционерное Общество «Транспортная компания РусГидро»</w:t>
            </w:r>
            <w:bookmarkEnd w:id="5"/>
            <w:bookmarkEnd w:id="6"/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7" w:name="_Toc135753771"/>
      <w:r>
        <w:rPr/>
        <w:t>Наименование закупаемой продукции</w:t>
      </w:r>
      <w:bookmarkEnd w:id="7"/>
    </w:p>
    <w:p>
      <w:pPr>
        <w:pStyle w:val="Heading4"/>
        <w:numPr>
          <w:ilvl w:val="0"/>
        </w:numPr>
        <w:tabs>
          <w:tab w:val="clear" w:pos="0"/>
        </w:tabs>
        <w:ind w:left="0" w:firstLine="709"/>
        <w:rPr>
          <w:b w:val="false"/>
          <w:bCs w:val="false"/>
          <w:lang w:val="ru-RU"/>
        </w:rPr>
      </w:pPr>
      <w:bookmarkStart w:id="8" w:name="_Toc135753772"/>
      <w:r>
        <w:rPr>
          <w:b w:val="false"/>
          <w:bCs w:val="false"/>
          <w:lang w:val="ru-RU"/>
        </w:rPr>
        <w:t>Услуги по предрейсовому техническому контролю транспортных средств г. Билибино для нужд Камчатского филиал АО "ТК РусГидро".</w:t>
      </w:r>
    </w:p>
    <w:p>
      <w:pPr>
        <w:pStyle w:val="Heading4"/>
        <w:numPr>
          <w:ilvl w:val="1"/>
          <w:numId w:val="3"/>
        </w:numPr>
        <w:rPr/>
      </w:pPr>
      <w:bookmarkStart w:id="9" w:name="_Toc46743507"/>
      <w:r>
        <w:rPr/>
        <w:t xml:space="preserve">Цель </w:t>
      </w:r>
      <w:bookmarkEnd w:id="9"/>
      <w:r>
        <w:rPr/>
        <w:t>оказания услуг</w:t>
      </w:r>
      <w:bookmarkEnd w:id="8"/>
      <w:r>
        <w:rPr/>
        <w:t xml:space="preserve"> </w:t>
      </w:r>
    </w:p>
    <w:p>
      <w:pPr>
        <w:pStyle w:val="Normal"/>
        <w:ind w:firstLine="709"/>
        <w:rPr>
          <w:sz w:val="24"/>
          <w:lang w:eastAsia="x-none"/>
        </w:rPr>
      </w:pPr>
      <w:r>
        <w:rPr>
          <w:sz w:val="24"/>
          <w:szCs w:val="24"/>
          <w:lang w:eastAsia="x-none"/>
        </w:rPr>
        <w:t>Проведение предрейсового технического контроля транспортных средств Билибинского транспортного участка Камчатского филиала АО «ТК РусГидро» в г. Билибино Чукотского АО, в связи с отсутствием на данном участке штатного механика по выпуску транспортных средств на линию.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0" w:name="_Toc135753774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0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4"/>
        <w:gridCol w:w="2972"/>
        <w:gridCol w:w="2129"/>
        <w:gridCol w:w="2129"/>
        <w:gridCol w:w="198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Чайка-Сервис 2784SE (КАМАЗ), гос. номер Е 432 ВУ 41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Билибино, Чукотский АО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Автогидроподъёмник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ГАЗ-27527 Соболь, гос. номер Е 388 ВХ 41</w:t>
            </w:r>
          </w:p>
        </w:tc>
        <w:tc>
          <w:tcPr>
            <w:tcW w:w="2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Микроавтобус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ГИРД 5849DА-0001032 (УРАЛ NEXT), гос. номер Е 449 ВУ 41</w:t>
            </w:r>
          </w:p>
        </w:tc>
        <w:tc>
          <w:tcPr>
            <w:tcW w:w="2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Грузовой бортовой с КМУ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1" w:name="_Toc135753775"/>
      <w:bookmarkStart w:id="12" w:name="_Hlk49857604"/>
      <w:bookmarkStart w:id="13" w:name="_Toc46743509"/>
      <w:r>
        <w:rPr/>
        <w:t xml:space="preserve">Информация в отношении исполнения договора, </w:t>
      </w:r>
      <w:bookmarkStart w:id="14" w:name="_Hlk46492347"/>
      <w:r>
        <w:rPr/>
        <w:t xml:space="preserve">которая должна быть учтена при подготовке заявки </w:t>
      </w:r>
      <w:bookmarkEnd w:id="14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Start w:id="15" w:name="_Toc46743510"/>
      <w:bookmarkStart w:id="16" w:name="_Toc50125126"/>
      <w:bookmarkEnd w:id="11"/>
      <w:bookmarkEnd w:id="12"/>
      <w:bookmarkEnd w:id="13"/>
    </w:p>
    <w:p>
      <w:pPr>
        <w:pStyle w:val="Heading3"/>
        <w:numPr>
          <w:ilvl w:val="2"/>
          <w:numId w:val="3"/>
        </w:numPr>
        <w:rPr>
          <w:b w:val="false"/>
        </w:rPr>
      </w:pPr>
      <w:bookmarkStart w:id="17" w:name="_Toc135753776"/>
      <w:r>
        <w:rPr>
          <w:b w:val="false"/>
        </w:rPr>
        <w:t xml:space="preserve">Заказчик предоставляет </w:t>
      </w:r>
      <w:r>
        <w:rPr>
          <w:b w:val="false"/>
          <w:lang w:val="ru-RU"/>
        </w:rPr>
        <w:t>Исполнителю</w:t>
      </w:r>
      <w:r>
        <w:rPr>
          <w:b w:val="false"/>
        </w:rPr>
        <w:t>:</w:t>
      </w:r>
      <w:bookmarkEnd w:id="17"/>
    </w:p>
    <w:p>
      <w:pPr>
        <w:pStyle w:val="Heading3"/>
        <w:numPr>
          <w:ilvl w:val="0"/>
          <w:numId w:val="0"/>
        </w:numPr>
        <w:ind w:left="1224" w:hanging="0"/>
        <w:rPr>
          <w:b w:val="false"/>
        </w:rPr>
      </w:pPr>
      <w:bookmarkStart w:id="18" w:name="_Toc135753777"/>
      <w:bookmarkStart w:id="19" w:name="_Toc135752684"/>
      <w:r>
        <w:rPr>
          <w:b w:val="false"/>
          <w:lang w:val="ru-RU"/>
        </w:rPr>
        <w:t>Необходимые данные о ТС (гос. номер, марку и модель ТС)</w:t>
      </w:r>
      <w:bookmarkEnd w:id="18"/>
      <w:bookmarkEnd w:id="19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0" w:name="_Toc135753778"/>
      <w:bookmarkStart w:id="21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0"/>
      <w:bookmarkEnd w:id="21"/>
    </w:p>
    <w:p>
      <w:pPr>
        <w:pStyle w:val="Heading4"/>
        <w:numPr>
          <w:ilvl w:val="1"/>
          <w:numId w:val="3"/>
        </w:numPr>
        <w:rPr/>
      </w:pPr>
      <w:bookmarkStart w:id="22" w:name="_Toc13575377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3" w:name="_Toc135753780"/>
      <w:r>
        <w:rPr>
          <w:lang w:val="ru-RU"/>
        </w:rPr>
        <w:t>Требования к перечню и объему услуг</w:t>
      </w:r>
      <w:bookmarkEnd w:id="2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135753781"/>
      <w:bookmarkStart w:id="2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оказываемых услуг</w:t>
      </w:r>
      <w:bookmarkEnd w:id="2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4"/>
        <w:gridCol w:w="5253"/>
        <w:gridCol w:w="1701"/>
        <w:gridCol w:w="2121"/>
      </w:tblGrid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52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Чайка-Сервис 2784SE (КАМАЗ), гос. номер Е 432 ВУ 41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</w:t>
            </w:r>
          </w:p>
        </w:tc>
        <w:tc>
          <w:tcPr>
            <w:tcW w:w="212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ГАЗ-27527 Соболь, гос. номер Е 388 ВХ 41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 ГИРД 5849DА-0001032 (УРАЛ NEXT), гос. номер Е 449 ВУ 41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6" w:name="_Toc135753782"/>
      <w:bookmarkStart w:id="27" w:name="_Toc51339696"/>
      <w:r>
        <w:rPr>
          <w:lang w:val="ru-RU"/>
        </w:rPr>
        <w:t xml:space="preserve">Требования </w:t>
      </w:r>
      <w:bookmarkEnd w:id="27"/>
      <w:r>
        <w:rPr>
          <w:lang w:val="ru-RU"/>
        </w:rPr>
        <w:t>к срокам оказания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135753783"/>
      <w:bookmarkStart w:id="29" w:name="_Toc51339697"/>
      <w:bookmarkStart w:id="30" w:name="_Toc50125127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9"/>
      <w:bookmarkEnd w:id="30"/>
      <w:bookmarkEnd w:id="31"/>
      <w:r>
        <w:rPr>
          <w:sz w:val="24"/>
          <w:szCs w:val="24"/>
          <w:lang w:val="ru-RU"/>
        </w:rPr>
        <w:t>оказания услуг</w:t>
      </w:r>
      <w:bookmarkEnd w:id="28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4678"/>
        <w:gridCol w:w="2266"/>
        <w:gridCol w:w="2126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bookmarkEnd w:id="15"/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360" w:hanging="338"/>
              <w:jc w:val="center"/>
              <w:rPr/>
            </w:pPr>
            <w:r>
              <w:rPr/>
              <w:t>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Чайка-Сервис 2784SE (КАМАЗ), гос. номер Е 432 ВУ 41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ГАЗ-27527 Соболь, гос. номер Е 388 ВХ 41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 ГИРД 5849DА-0001032 (УРАЛ NEXT), гос. номер Е 449 ВУ 41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2027</w:t>
            </w:r>
            <w:bookmarkStart w:id="32" w:name="_GoBack"/>
            <w:bookmarkEnd w:id="3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3" w:name="_Toc51339698"/>
      <w:bookmarkStart w:id="34" w:name="_Toc135753784"/>
      <w:bookmarkStart w:id="35" w:name="_Toc46743511"/>
      <w:r>
        <w:rPr/>
        <w:t xml:space="preserve">Требования к </w:t>
      </w:r>
      <w:bookmarkEnd w:id="35"/>
      <w:r>
        <w:rPr>
          <w:lang w:val="ru-RU"/>
        </w:rPr>
        <w:t>качеству услуг</w:t>
      </w:r>
      <w:bookmarkEnd w:id="3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6" w:name="_Toc13575378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3"/>
      <w:r>
        <w:rPr>
          <w:sz w:val="24"/>
          <w:szCs w:val="24"/>
          <w:lang w:val="ru-RU"/>
        </w:rPr>
        <w:t>качеству услуг</w:t>
      </w:r>
      <w:bookmarkEnd w:id="36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5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4"/>
        <w:gridCol w:w="2691"/>
        <w:gridCol w:w="2928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7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соблюдению при выполнении услуг норм и правил нормативно-технических документов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проведении контроля проверяется работоспособность и состояние основных узлов и систем транспортного средства, влияющих на безопасность дорожного движения, на соответствие положениям технического регламента Таможенного союза «О безопасности колесных транспортных средств», принятого решением Комиссии Таможенного союза от 9 декабря 2011 г. № 877(далее - Технический регламент), постановления Совета Министров - Правительства Российской Федерации от 23 октября 1993 г. № 1090 «О правилах дорожного движения»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учету особых условий работы оборудования и производства работ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при планировании работ, должен учитывать метеорологические условия в месте проведения работ.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1.1.3.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составу, содержанию услуг.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проведении контроля должны быть проверены: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1) исправность: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тормозной системы (включая манометр пневматического или пневмогидравлического тормозных приводов, если их установка предусмотрена конструкцией транспортного средства);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рулевого управления;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стеклоомывателей;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колес;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звукового сигнала;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2) исправность предусмотренных конструкцией транспортного средства: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замков дверей кабины, пробок топливных баков;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 фиксации подушки и спинки водительского сиденья;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 обогрева и обдува стекол;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3) наличие предусмотренных конструкцией транспортного средства: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индикации на щитке приборов, свидетельствующей о неисправности, влияющей на безопасность дорожного движения (проверяется при работающем двигателе);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стекол и обзорности с места водителя;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зеркал заднего вида и их креплений;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заднего защитного устройства, грязезащитных фартуков и брызговиков;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ремней безопасности (если обязательность их установки предусмотрена законодательством Российской Федерации) и (или) подголовников сидений и их работоспособность;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4) работоспособность в установленном режиме: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стеклоочистителей;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внешних световых приборов и световозвращателей;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5) герметичность систем, узлов и агрегатов транспортного средства, в том числе системы выпуска отработавших газов, а также дополнительно устанавливаемых на транспортное средство гидравлических устройств;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6) укомплектованность медицинской аптечкой, огнетушителем;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7) отсутствие внесенных в конструкцию транспортного средства изменений в нарушение установленного порядка, предусмотренного разделом 4 главы V Технического регламента;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8) отсутствие установленных на передней части транспортного средства световых приборов с огнями красного цвета или световозвращающих приспособлений красного цвета, на транспортном средстве устройств для подачи специальных световых или звуковых сигналов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контрольно-техническому посту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Контрольно-технический  пост  должен  работать  в  режиме, позволяющем  обеспечить  прохождение    водителем    предрейсового (предсменного)  технического осмотра автотранспортного средства не позднее, чем за  тридцать  минут до отправления в рейс (в смену) по предъявлении  путевого  листа,  а также  документа,    удостоверяющего    личность    водителя.    При необходимости  выполнения  нескольких  рейсов    в    течение дня предрейсовый (предсменный) технический осмотр  автотранспортного  средства  должен  проводиться перед первым рейсом.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журналу регистрации результатов контроля технического состояния транспортных средств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Журнал регистрации результатов контроля технического состояния транспортных средств (далее - журнал) должен содержать следующие реквизиты: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1) наименование марки, модели транспортного средства;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2) государственный регистрационный знак транспортного средства;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3) фамилию, имя, отчество (при наличии) водителя транспортного средства;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4) фамилию, имя, отчество (при наличии) контролера  технического состояния автотранспортных средств,  проводившего контроль;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5) дату, время проведения контроля;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6) показания одометра (полные километры пробега) при проведении контроля;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7) отметку о прохождении контроля;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8) подпись контролера  технического состояния автотранспортных средств, проводившего контроль.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Журнал ведется на бумажном носителе, страницы которого должны быть прошнурованы, пронумерованы.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применяемому при оказании услуг оборудованию.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целях оценки работоспособности, исправности и состояния узлов, агрегатов, механизмов и систем транспортного средства, проверка которых была осуществлена без использования средств технического диагностирования, контролер технического состояния автотранспортных средств  вправе организовать диагностику технического состояния данных узлов, агрегатов, механизмов и систем с использованием необходимого оборудования, средств измерений и инструментов. Средства измерений, используемые для контроля, должны быть метрологически поверены в соответствии с положениями Федерального закона от 26 июня 2008 г. № 102-ФЗ «Об обеспечении единства измерений».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Контролер технического состояния автотранспортных средств должен соответствовать Профессиональным и квалификационным требованиям к работникам юридических лиц, утвержденным приказом Министерства транспорта Российской Федерации от 31 июля 2020 г. № 282 «Об утверждении профессиональных и квалификационных требований, предьявляемых при осуществлении перевозок к работникам юридических лиц и индивидуальных предпринимателей, указанных в абзаце  первом пункта 2 статьи 20 Федерального закона «О безопасности дорожного движения»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предрейсового технического контроля транспортных средств Заказчика в г. Билибино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8" w:name="_Toc135753786"/>
      <w:bookmarkStart w:id="39" w:name="_Toc53395937"/>
      <w:bookmarkStart w:id="40" w:name="_Toc53393312"/>
      <w:r>
        <w:rPr>
          <w:lang w:val="ru-RU"/>
        </w:rPr>
        <w:t>Требования к документации по ценообразованию</w:t>
      </w:r>
      <w:bookmarkEnd w:id="39"/>
      <w:bookmarkEnd w:id="40"/>
      <w:r>
        <w:rPr>
          <w:lang w:val="ru-RU"/>
        </w:rPr>
        <w:t xml:space="preserve"> на этапе закупки</w:t>
      </w:r>
      <w:bookmarkEnd w:id="38"/>
    </w:p>
    <w:p>
      <w:pPr>
        <w:pStyle w:val="Heading4"/>
        <w:numPr>
          <w:ilvl w:val="1"/>
          <w:numId w:val="3"/>
        </w:numPr>
        <w:jc w:val="both"/>
        <w:rPr>
          <w:b w:val="false"/>
          <w:lang w:val="ru-RU"/>
        </w:rPr>
      </w:pPr>
      <w:bookmarkStart w:id="41" w:name="_Toc135753787"/>
      <w:r>
        <w:rPr>
          <w:b w:val="false"/>
          <w:lang w:val="ru-RU"/>
        </w:rPr>
        <w:t>В обоснование стоимости своей заявки Участник предоставляет Коммерческое предложение, а также приложение к нему «Перечень услуг с единичными расценками».</w:t>
      </w:r>
      <w:bookmarkEnd w:id="41"/>
    </w:p>
    <w:p>
      <w:pPr>
        <w:pStyle w:val="Heading4"/>
        <w:numPr>
          <w:ilvl w:val="1"/>
          <w:numId w:val="3"/>
        </w:numPr>
        <w:jc w:val="both"/>
        <w:rPr>
          <w:b w:val="false"/>
          <w:lang w:val="ru-RU"/>
        </w:rPr>
      </w:pPr>
      <w:bookmarkStart w:id="42" w:name="_Toc135753788"/>
      <w:r>
        <w:rPr>
          <w:b w:val="false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</w:t>
      </w:r>
      <w:bookmarkEnd w:id="42"/>
    </w:p>
    <w:p>
      <w:pPr>
        <w:pStyle w:val="Heading4"/>
        <w:numPr>
          <w:ilvl w:val="1"/>
          <w:numId w:val="3"/>
        </w:numPr>
        <w:jc w:val="both"/>
        <w:rPr>
          <w:b w:val="false"/>
        </w:rPr>
      </w:pPr>
      <w:bookmarkStart w:id="43" w:name="_Toc51339699"/>
      <w:bookmarkStart w:id="44" w:name="_Toc46743519"/>
      <w:r>
        <w:rPr>
          <w:b w:val="false"/>
        </w:rPr>
        <w:t>Цена остается фиксированной и не подлежит изменению с момента заключения и на все время действия договора.</w:t>
      </w:r>
      <w:bookmarkEnd w:id="43"/>
      <w:bookmarkEnd w:id="44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Руководитель ГКЭО и РТС</w:t>
      </w:r>
    </w:p>
    <w:p>
      <w:pPr>
        <w:pStyle w:val="Normal"/>
        <w:rPr>
          <w:lang w:val="x-none" w:eastAsia="x-none"/>
        </w:rPr>
      </w:pPr>
      <w:r>
        <w:rPr>
          <w:sz w:val="24"/>
          <w:szCs w:val="24"/>
          <w:lang w:eastAsia="x-none"/>
        </w:rPr>
        <w:t xml:space="preserve">Камчатского филиала АО «ТК РусГидро»                                                              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F77A-E660-447E-B91D-7748406D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Application>AlterOffice/2025.2.1.0$Linux_X86_64 LibreOffice_project/d2c615264c9535987c375e0f04a158be6015ce3d</Application>
  <AppVersion>15.0000</AppVersion>
  <Pages>12</Pages>
  <Words>1378</Words>
  <Characters>9320</Characters>
  <CharactersWithSpaces>10580</CharactersWithSpaces>
  <Paragraphs>227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/>
  <cp:lastPrinted>2023-11-20T21:33:00Z</cp:lastPrinted>
  <dcterms:modified xsi:type="dcterms:W3CDTF">2026-06-29T18:55:18Z</dcterms:modified>
  <cp:revision>45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