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6"/>
        </w:rPr>
      </w:pPr>
      <w:r>
        <w:rPr>
          <w:bCs/>
          <w:sz w:val="24"/>
          <w:szCs w:val="26"/>
        </w:rPr>
      </w:r>
    </w:p>
    <w:p>
      <w:pPr>
        <w:pStyle w:val="Normal"/>
        <w:jc w:val="right"/>
        <w:rPr>
          <w:bCs/>
          <w:sz w:val="24"/>
          <w:szCs w:val="26"/>
        </w:rPr>
      </w:pPr>
      <w:r>
        <w:rPr>
          <w:bCs/>
          <w:sz w:val="24"/>
          <w:szCs w:val="26"/>
        </w:rPr>
      </w:r>
    </w:p>
    <w:p>
      <w:pPr>
        <w:pStyle w:val="Normal"/>
        <w:jc w:val="right"/>
        <w:rPr>
          <w:bCs/>
          <w:sz w:val="24"/>
          <w:szCs w:val="26"/>
        </w:rPr>
      </w:pPr>
      <w:r>
        <w:rPr>
          <w:bCs/>
          <w:sz w:val="24"/>
          <w:szCs w:val="26"/>
        </w:rPr>
      </w:r>
    </w:p>
    <w:p>
      <w:pPr>
        <w:pStyle w:val="Normal"/>
        <w:jc w:val="right"/>
        <w:rPr>
          <w:bCs/>
          <w:sz w:val="24"/>
          <w:szCs w:val="26"/>
        </w:rPr>
      </w:pPr>
      <w:r>
        <w:rPr>
          <w:bCs/>
          <w:sz w:val="24"/>
          <w:szCs w:val="26"/>
        </w:rPr>
      </w:r>
    </w:p>
    <w:p>
      <w:pPr>
        <w:pStyle w:val="Normal"/>
        <w:jc w:val="right"/>
        <w:rPr>
          <w:bCs/>
          <w:sz w:val="24"/>
          <w:szCs w:val="26"/>
        </w:rPr>
      </w:pPr>
      <w:r>
        <w:rPr>
          <w:bCs/>
          <w:sz w:val="24"/>
          <w:szCs w:val="26"/>
        </w:rPr>
      </w:r>
    </w:p>
    <w:p>
      <w:pPr>
        <w:pStyle w:val="Normal"/>
        <w:jc w:val="right"/>
        <w:rPr>
          <w:bCs/>
          <w:sz w:val="24"/>
          <w:szCs w:val="26"/>
        </w:rPr>
      </w:pPr>
      <w:r>
        <w:rPr>
          <w:bCs/>
          <w:sz w:val="24"/>
          <w:szCs w:val="26"/>
        </w:rPr>
      </w:r>
    </w:p>
    <w:p>
      <w:pPr>
        <w:pStyle w:val="Normal"/>
        <w:jc w:val="right"/>
        <w:rPr>
          <w:bCs/>
          <w:sz w:val="24"/>
          <w:szCs w:val="26"/>
        </w:rPr>
      </w:pPr>
      <w:r>
        <w:rPr>
          <w:bCs/>
          <w:sz w:val="24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ОКПД 2: 63.11.13.000 Услуги информационного сервисного обслуживания системы спутникового мониторинга СКАУТ, для нужд Камчатского филиала АО «ТК РусГидро».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 2</w:t>
      </w:r>
      <w:r>
        <w:rPr>
          <w:rFonts w:eastAsia="Calibri"/>
          <w:b/>
          <w:sz w:val="24"/>
          <w:szCs w:val="24"/>
        </w:rPr>
        <w:t>061</w:t>
      </w:r>
      <w:r>
        <w:rPr>
          <w:rFonts w:eastAsia="Calibri"/>
          <w:b/>
          <w:sz w:val="24"/>
          <w:szCs w:val="24"/>
        </w:rPr>
        <w:t xml:space="preserve">-ЭКСП </w:t>
      </w:r>
      <w:r>
        <w:rPr>
          <w:rFonts w:eastAsia="Calibri"/>
          <w:b/>
          <w:sz w:val="24"/>
          <w:szCs w:val="24"/>
        </w:rPr>
        <w:t>ДИТ</w:t>
      </w:r>
      <w:r>
        <w:rPr>
          <w:rFonts w:eastAsia="Calibri"/>
          <w:b/>
          <w:sz w:val="24"/>
          <w:szCs w:val="24"/>
        </w:rPr>
        <w:t>-202</w:t>
      </w:r>
      <w:r>
        <w:rPr>
          <w:rFonts w:eastAsia="Calibri"/>
          <w:b/>
          <w:sz w:val="24"/>
          <w:szCs w:val="24"/>
        </w:rPr>
        <w:t>7</w:t>
      </w:r>
      <w:r>
        <w:rPr>
          <w:rFonts w:eastAsia="Calibri"/>
          <w:b/>
          <w:sz w:val="24"/>
          <w:szCs w:val="24"/>
        </w:rPr>
        <w:t>-ТК-КФ</w:t>
      </w:r>
      <w:r>
        <w:br w:type="page"/>
      </w:r>
    </w:p>
    <w:p>
      <w:pPr>
        <w:pStyle w:val="Heading1"/>
        <w:numPr>
          <w:ilvl w:val="0"/>
          <w:numId w:val="3"/>
        </w:numPr>
        <w:ind w:left="0" w:firstLine="63"/>
        <w:rPr>
          <w:caps/>
          <w:sz w:val="24"/>
          <w:szCs w:val="24"/>
        </w:rPr>
      </w:pPr>
      <w:bookmarkStart w:id="0" w:name="_Toc54643694"/>
      <w:r>
        <w:rPr>
          <w:sz w:val="24"/>
          <w:szCs w:val="24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0" w:firstLine="63"/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ББ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Бортовой блок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Транспортное средство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firstLine="63"/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Heading4"/>
        <w:numPr>
          <w:ilvl w:val="0"/>
          <w:numId w:val="0"/>
        </w:numPr>
        <w:ind w:left="432" w:hanging="0"/>
        <w:rPr/>
      </w:pPr>
      <w:bookmarkStart w:id="5" w:name="_Toc54643697"/>
      <w:r>
        <w:rPr>
          <w:rFonts w:eastAsia="Times New Roman"/>
          <w:b w:val="false"/>
          <w:bCs w:val="false"/>
          <w:lang w:val="ru-RU"/>
        </w:rPr>
        <w:t>ОКПД 2: 63.11.13.000 Услуги информационного сервисного обслуживания системы спутникового мониторинга СКАУТ, для нужд Камчатского филиала АО «ТК РусГидро».</w:t>
      </w:r>
    </w:p>
    <w:p>
      <w:pPr>
        <w:pStyle w:val="Heading4"/>
        <w:numPr>
          <w:ilvl w:val="1"/>
          <w:numId w:val="3"/>
        </w:numPr>
        <w:ind w:left="0" w:firstLine="63"/>
        <w:rPr/>
      </w:pPr>
      <w:bookmarkStart w:id="6" w:name="_Toc46743507"/>
      <w:r>
        <w:rPr/>
        <w:t xml:space="preserve">Цель </w:t>
      </w:r>
      <w:bookmarkEnd w:id="6"/>
      <w:r>
        <w:rPr/>
        <w:t>оказания услуг</w:t>
      </w:r>
      <w:bookmarkEnd w:id="5"/>
    </w:p>
    <w:p>
      <w:pPr>
        <w:pStyle w:val="Heading4"/>
        <w:numPr>
          <w:ilvl w:val="2"/>
          <w:numId w:val="8"/>
        </w:numPr>
        <w:rPr/>
      </w:pPr>
      <w:r>
        <w:rPr>
          <w:rFonts w:eastAsia="Times New Roman"/>
          <w:b w:val="false"/>
          <w:bCs w:val="false"/>
          <w:lang w:val="ru-RU"/>
        </w:rPr>
        <w:t>Информационного сервисное обслуживание системы спутникового мониторинга СКАУТ установленной на транспортных средствах Камчатского филиала АО «ТК РусГидро».</w:t>
      </w:r>
    </w:p>
    <w:p>
      <w:pPr>
        <w:pStyle w:val="Heading4"/>
        <w:numPr>
          <w:ilvl w:val="1"/>
          <w:numId w:val="3"/>
        </w:numPr>
        <w:ind w:left="0" w:firstLine="63"/>
        <w:rPr/>
      </w:pPr>
      <w:bookmarkStart w:id="7" w:name="_Toc46743508"/>
      <w:bookmarkStart w:id="8" w:name="_Toc54643698"/>
      <w:r>
        <w:rPr/>
        <w:t>Существующее положение</w:t>
      </w:r>
      <w:bookmarkEnd w:id="7"/>
      <w:bookmarkEnd w:id="8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9" w:name="_Toc54643699"/>
      <w:r>
        <w:rPr>
          <w:sz w:val="24"/>
          <w:szCs w:val="24"/>
        </w:rPr>
        <w:t>Таблица 1. Перечень объектов заказчика</w:t>
      </w:r>
      <w:bookmarkEnd w:id="9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62"/>
        <w:gridCol w:w="2126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КамАЗ 6522-53 Самосвал Гос. номер В 950 ЕВ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Автогудронатор АС-6312 Гос. номер В 520 ЕТ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Автогудронатор АС-6312 Гос. номер В 521 ЕТ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Автогудронатор АС-6312 Гос. номер В 317 ЕО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Автогудронатор АС-6312 Гос. номер В 440 ЕО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УЗСТ 6619Н-19 Гос. номер Т 476 УМ 174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КАМАЗ 6520-53 Гос. номер В 496 КО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КамАЗ 6522-53 Самосвал Гос. номер В 236 КО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КамАЗ 6522-53 Самосвал Гос. номер В 352 КО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КАМАЗ 6520 Гос. номер В 332 КО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АЦН 4665С1 Гос. номер В 896 КС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 w:eastAsia="x-none"/>
              </w:rPr>
            </w:pPr>
            <w:r>
              <w:rPr>
                <w:sz w:val="20"/>
                <w:szCs w:val="20"/>
                <w:lang w:val="en-US" w:eastAsia="x-none"/>
              </w:rPr>
              <w:t>12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АЦН 4665С1 Гос. номер В 409 КС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 w:eastAsia="x-none"/>
              </w:rPr>
            </w:pPr>
            <w:r>
              <w:rPr>
                <w:sz w:val="20"/>
                <w:szCs w:val="20"/>
                <w:lang w:val="en-US" w:eastAsia="x-none"/>
              </w:rPr>
              <w:t>13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Shacman SX3318DT366 Гос. номер В 695 КХ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 w:eastAsia="x-none"/>
              </w:rPr>
            </w:pPr>
            <w:r>
              <w:rPr>
                <w:sz w:val="20"/>
                <w:szCs w:val="20"/>
                <w:lang w:val="en-US" w:eastAsia="x-none"/>
              </w:rPr>
              <w:t>14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Shacman SX3318DT366 Гос. номер В 492 НВ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 w:eastAsia="x-none"/>
              </w:rPr>
            </w:pPr>
            <w:r>
              <w:rPr>
                <w:sz w:val="20"/>
                <w:szCs w:val="20"/>
                <w:lang w:val="en-US" w:eastAsia="x-none"/>
              </w:rPr>
              <w:t>15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Shacman SX3318DT366 Гос. номер В 817 НА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 w:eastAsia="x-none"/>
              </w:rPr>
            </w:pPr>
            <w:r>
              <w:rPr>
                <w:sz w:val="20"/>
                <w:szCs w:val="20"/>
                <w:lang w:val="en-US" w:eastAsia="x-none"/>
              </w:rPr>
              <w:t>16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4679А2-10 Гос. номер В 582 НР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 w:eastAsia="x-none"/>
              </w:rPr>
            </w:pPr>
            <w:r>
              <w:rPr>
                <w:sz w:val="20"/>
                <w:szCs w:val="20"/>
                <w:lang w:val="en-US" w:eastAsia="x-none"/>
              </w:rPr>
              <w:t>17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КАМАЗ Т2230 (в сцепке с 41 АВ 0335) Гос. номер В 814 ОА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 w:eastAsia="x-none"/>
              </w:rPr>
            </w:pPr>
            <w:r>
              <w:rPr>
                <w:sz w:val="20"/>
                <w:szCs w:val="20"/>
                <w:lang w:val="en-US" w:eastAsia="x-none"/>
              </w:rPr>
              <w:t>18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SHACMAN SX3258DR384 Гос. номер К 651 АК 126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 w:eastAsia="x-none"/>
              </w:rPr>
            </w:pPr>
            <w:r>
              <w:rPr>
                <w:sz w:val="20"/>
                <w:szCs w:val="20"/>
                <w:lang w:val="en-US" w:eastAsia="x-none"/>
              </w:rPr>
              <w:t>19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SHACMAN SX3258DR384 Гос. номер К 667 АК 126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 w:eastAsia="x-none"/>
              </w:rPr>
            </w:pPr>
            <w:r>
              <w:rPr>
                <w:sz w:val="20"/>
                <w:szCs w:val="20"/>
                <w:lang w:val="en-US" w:eastAsia="x-none"/>
              </w:rPr>
              <w:t>20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SHACMAN SX3258DR384 Гос. номер К 585 АК 126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</w:tbl>
    <w:p>
      <w:pPr>
        <w:pStyle w:val="Heading1"/>
        <w:numPr>
          <w:ilvl w:val="0"/>
          <w:numId w:val="3"/>
        </w:numPr>
        <w:ind w:left="3402" w:firstLine="63"/>
        <w:rPr>
          <w:caps/>
          <w:sz w:val="24"/>
          <w:szCs w:val="24"/>
          <w:lang w:val="ru-RU"/>
        </w:rPr>
      </w:pPr>
      <w:bookmarkStart w:id="10" w:name="_Toc51339693"/>
      <w:bookmarkStart w:id="11" w:name="_Toc54643702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ind w:left="0" w:firstLine="63"/>
        <w:rPr/>
      </w:pPr>
      <w:bookmarkStart w:id="12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2"/>
    </w:p>
    <w:p>
      <w:pPr>
        <w:pStyle w:val="Heading3"/>
        <w:numPr>
          <w:ilvl w:val="2"/>
          <w:numId w:val="3"/>
        </w:numPr>
        <w:ind w:left="0" w:firstLine="63"/>
        <w:rPr/>
      </w:pPr>
      <w:bookmarkStart w:id="13" w:name="_Toc54643704"/>
      <w:r>
        <w:rPr/>
        <w:t>Требования к перечню и объему услуг</w:t>
      </w:r>
      <w:bookmarkEnd w:id="13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4" w:name="_Toc54643705"/>
      <w:bookmarkStart w:id="15" w:name="_Toc51339695"/>
      <w:r>
        <w:rPr>
          <w:sz w:val="24"/>
          <w:szCs w:val="24"/>
        </w:rPr>
        <w:t xml:space="preserve">Таблица 2. Перечень </w:t>
      </w:r>
      <w:bookmarkEnd w:id="15"/>
      <w:r>
        <w:rPr>
          <w:sz w:val="24"/>
          <w:szCs w:val="24"/>
        </w:rPr>
        <w:t>и объем оказываемых услуг</w:t>
      </w:r>
      <w:bookmarkEnd w:id="14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1"/>
        <w:gridCol w:w="4963"/>
        <w:gridCol w:w="1701"/>
        <w:gridCol w:w="2124"/>
      </w:tblGrid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52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jc w:val="right"/>
              <w:rPr/>
            </w:pPr>
            <w:r>
              <w:rPr/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 2: 63.11.13.000 Услуги информационного сервисного обслуживания системы спутникового мониторинга СКАУТ, для нужд Камчатского филиала АО «ТК РусГидро»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3"/>
        </w:numPr>
        <w:ind w:left="0" w:firstLine="63"/>
        <w:rPr/>
      </w:pPr>
      <w:bookmarkStart w:id="16" w:name="_Toc54643706"/>
      <w:bookmarkStart w:id="17" w:name="_Toc51339696"/>
      <w:r>
        <w:rPr/>
        <w:t xml:space="preserve">Требования </w:t>
      </w:r>
      <w:bookmarkEnd w:id="17"/>
      <w:r>
        <w:rPr/>
        <w:t>к срокам оказания услуг</w:t>
      </w:r>
      <w:bookmarkEnd w:id="16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18" w:name="_Toc54643707"/>
      <w:bookmarkStart w:id="19" w:name="_Toc50125127"/>
      <w:bookmarkStart w:id="20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9"/>
      <w:bookmarkEnd w:id="20"/>
      <w:bookmarkEnd w:id="21"/>
      <w:r>
        <w:rPr>
          <w:sz w:val="24"/>
          <w:szCs w:val="24"/>
          <w:lang w:val="ru-RU"/>
        </w:rPr>
        <w:t>оказания услуг</w:t>
      </w:r>
      <w:bookmarkEnd w:id="18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4395"/>
        <w:gridCol w:w="2268"/>
        <w:gridCol w:w="2550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63.11.13.000 Услуги информационного сервисного обслуживания системы спутникового мониторинга СКАУТ, для нужд Камчатского филиала АО «ТК РусГидро»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0" w:firstLine="63"/>
        <w:rPr/>
      </w:pPr>
      <w:bookmarkStart w:id="22" w:name="_Toc54643709"/>
      <w:bookmarkStart w:id="23" w:name="_Toc51339698"/>
      <w:bookmarkStart w:id="24" w:name="_Toc54643708"/>
      <w:bookmarkStart w:id="25" w:name="_Toc46743511"/>
      <w:r>
        <w:rPr/>
        <w:t xml:space="preserve">Требования к </w:t>
      </w:r>
      <w:bookmarkEnd w:id="25"/>
      <w:r>
        <w:rPr>
          <w:lang w:val="ru-RU"/>
        </w:rPr>
        <w:t>качеству услуг</w:t>
      </w:r>
      <w:bookmarkEnd w:id="24"/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3"/>
      <w:r>
        <w:rPr>
          <w:sz w:val="24"/>
          <w:szCs w:val="24"/>
          <w:lang w:val="ru-RU"/>
        </w:rPr>
        <w:t>качеству услуг</w:t>
      </w:r>
      <w:bookmarkEnd w:id="22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rStyle w:val="Style8"/>
          <w:b w:val="false"/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(позиции</w:t>
      </w:r>
      <w:r>
        <w:rPr>
          <w:i/>
          <w:sz w:val="24"/>
          <w:szCs w:val="24"/>
        </w:rPr>
        <w:t xml:space="preserve"> 1 </w:t>
      </w:r>
      <w:r>
        <w:rPr>
          <w:b/>
          <w:bCs/>
          <w:sz w:val="24"/>
          <w:szCs w:val="24"/>
        </w:rPr>
        <w:t>Таблицы 2): ОКПД 2: 63.11.13.000 Услуги информационного сервисного обслуживания системы спутникового мониторинга СКАУТ, для нужд Камчатского филиала АО «ТК РусГидро»</w:t>
      </w:r>
      <w:r>
        <w:rPr>
          <w:sz w:val="24"/>
          <w:szCs w:val="24"/>
          <w:lang w:eastAsia="x-none"/>
        </w:rPr>
        <w:t>, в соответствии с перечнем Таблица 2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2271"/>
        <w:gridCol w:w="3403"/>
        <w:gridCol w:w="2691"/>
        <w:gridCol w:w="2927"/>
        <w:gridCol w:w="2744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7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6"/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поставляемому оборудованию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eastAsia="Times New Roman"/>
                <w:b/>
                <w:bCs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 xml:space="preserve">В качестве бортового навигационного оборудования должен поставляться: - беспроводной бортовой блок мониторинга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 xml:space="preserve">Поставляемое оборудование предназначено для определения с помощью встроенного приемника местоположения, скорости и перемещения ТС, а также передачи данных по GSM-каналам на телематический сервер и диспетчерские центры пользователей от подключенного дополнительного оборудования, в том числе полученные через CAN-интерфейс. Формат передачи данных должен соответствовать требованиям приказа № 285 Минтранса РФ от 31.07.2012 года. Оборудование устанавливается на транспортное средство и подключается к штатной проводке транспортного средства.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ББ должен иметь открытый (публичный) протокол передачи данных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bCs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держатель SIM карты должен быть установлен внутри ББ и не иметь внешнего доступа, или защищен от несанкционированного доступа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bCs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ББ должен иметь возможность электропитания от встроенного в бортовой терминал собственного аккумулятора при отключении внешнего электропитания в течение не менее 5 часов, с передачей в центр сообщения об отключении внешнего питания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bCs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Конструкция корпуса ББ должна позволять устанавливать пломбы, защитные наклейки, позволяющие определить факты вскрытия прибора и несанкционированного вмешательства в его работу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 xml:space="preserve">ББ должен иметь возможность считывания информации портам RS-232, RS-485, </w:t>
            </w: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USB</w:t>
            </w: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 xml:space="preserve"> интерфейс, для выполнения настроек, управления, передачи данных и диагностики.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bCs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 xml:space="preserve">ББ должен поддерживать протоколы работы CAN-интерфейса  станадрта J-1939, </w:t>
            </w: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J</w:t>
            </w: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-1708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bCs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Конструкция составных частей ББ должно обеспечивать защиту от попадания внутрь твердых тел (пыли) и (или) от попадания внутрь воды. Степень защиты оболочек частей устройства должен соответствовать степени IP 51 в соответствии с ГОСТ 14254-96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ББ должен выполнять как минимум следующие функции: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ab/>
              <w:t>- определение по данным спутниковой навигации, предварительную обработку и оперативную передачу по каналам мобильной связи стандарта GSM компактной результирующей информации о параметрах изменения географических координат, скорости, направления движения и состояния ТС;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ab/>
              <w:t>- возможность настройки и выбора вариантов передачи данных на диспетчерский пункт (по запросу или через установленный промежуток времени с периодичностью в диапазоне от 15 секунд до 24 часов);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ab/>
              <w:t>- контроль уровней сигналов мобильной связи и автоматический выбор способов обмена данными в зависимости от доступности услуг в данной географической точке;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ab/>
              <w:t>- осуществление контроля успешности доставки данных;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ab/>
              <w:t>- при отсутствии связи с телематическим сервером обеспечение записи и хранения навигационных и других данных непосредственно в энергонезависимой памяти бортового блока, с последующей передачей информации при наличии связи;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ab/>
              <w:t xml:space="preserve">- пассивную реакцию системы на происходящие с ТС события (запись в журнале бортового блока всех возникающих событий); 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ab/>
              <w:t>- двусторонний обмен данными с сервером;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ab/>
              <w:t>- ведение на бортовом блоке журнала маршрута и событий;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ab/>
              <w:t>- хранение настроек и журнала в энергонезависимой памяти;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ab/>
              <w:t>- дистанционное обновление внутренней прикладной программы;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ab/>
              <w:t>- возможность выгрузки информации непосредственно с блока.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монтажным работам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Порядок выполнения работ по монтажу и техническому обслуживанию оборудования должен соответствовать эксплуатационной документации на оборудование.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19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bidi="ar-SA"/>
              </w:rPr>
              <w:t>Бортовое оборудование подключается к штатной электрической проводке ТС посредством соединений и разъемов, исключающих возможность несанкционированного отключения от сети ТС, места подключения пломбируются (место установки бортового оборудования согласовывается с Заказчиком дополнительно).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19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bidi="ar-SA"/>
              </w:rPr>
              <w:t>Установка бортового оборудования на ТС не должна приводить к потере заводской гарантии и изменению конструкции   ТС. (применение бесконтактных считывателей согласовывается с Заказчиком дополнительно)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19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bidi="ar-SA"/>
              </w:rPr>
              <w:t>Установка бортового оборудования на ТС не должна приводить к потере заводской гарантии и изменению конструкции   ТС. (применение бесконтактных считывателей согласовывается с Заказчиком дополнительно)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19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bidi="ar-SA"/>
              </w:rPr>
              <w:t>Установленное на ТС бортовое оборудование не должно отрицательно влиять на действующие электронные системы управления двигателем и т.п. и создавать помехи радиосвязи.</w:t>
            </w:r>
          </w:p>
          <w:p>
            <w:pPr>
              <w:pStyle w:val="19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19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bidi="ar-SA"/>
              </w:rPr>
              <w:t>Все работы проводятся с соблюдением требований безопасности, внутри объектового режима принятых у Заказчика.</w:t>
            </w:r>
          </w:p>
          <w:p>
            <w:pPr>
              <w:pStyle w:val="19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19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bidi="ar-SA"/>
              </w:rPr>
              <w:t>Установленное бортовое оборудование должно допускать возможность демонтажа без нарушения целостности штатной электрической проводки ТС.</w:t>
            </w:r>
          </w:p>
          <w:p>
            <w:pPr>
              <w:pStyle w:val="19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по организации комплексного сопровождения Оборудования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Информационная поддержка по любым вопросам эксплуатации оборудования;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Расширенные аналитические отчеты;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Прайс-лист на услуги и оборудование.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абонентскому сопровождению Системы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Подрядчик обязан обеспечить передачу данных с бортового оборудования на телематический сервер с момента установки бортового оборудования на ТС (незамедлительное подключение к Системе).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Абонентское сопровождение включает в себя: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eastAsia="Times New Roman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Обеспечение передачи данных с бортового оборудования на телематический сервер.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Напряжение питания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диапазоне 9 – 36 вольт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Потребляемый ток (при 12 В)</w:t>
            </w:r>
          </w:p>
        </w:tc>
        <w:tc>
          <w:tcPr>
            <w:tcW w:w="3403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Средний в режиме ожидания - не более 60 мА;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Пиковый в режиме передачи - не более 500 мА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Встроенный аккумулятор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 менее 560 мА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каналов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 менее 32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Рабочая частота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L1, 1575,42 МГц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Точность определения координат (при доверительной вероятности 0,67) на открытой местности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 более 4 м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Диапазон модуля GSM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900/1800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Мощность передатчика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GSM 900/1800 – Класс 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GSM1800 – Класс 1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Рабочий диапазон температур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 -40 до +70ºC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Требования к персоналу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Наличие квалифицированного персонала для проведения заявленного вида работ в количестве, достаточном для реализации проекта в установленные требованиями сроки.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Наличие необходимых ресурсов подтверждается справками об образовании и опыте работы соответствующих специалистов Участника.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результатам услуг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Оснащение транспортных средств Заказчика оборудованием системы спутникового мониторинга и его техническое обслуживание в течение срока действия договора.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Приемке результата оказания услуг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 результатам услуг по поставке оборудования,  Сторонами подписывается Акт ввода оборудования в промышленную эксплуатацию.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Документация, описывающая результат оказания услуг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результатам оказания услуг Исполнитель предоставляет Заказчику следующие документы: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Акт выполненных работ;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Счёт;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Счёт-фактуру или универсальный передаточный акт;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Товарную накладную на поставленный товар.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restart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Требования к эксплуатационной документации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Эксплуатационная документация для оборудования должна содержать следующие документы: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«Руководство по эксплуатации»;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 xml:space="preserve">«Схема установки оборудования»;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6.2. «Руководство пользователя» должно содержать: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Описание функционала оборудования для пользователя;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Описание порядка работы с оборудованием, вплоть до перечня кнопок и пунктов меню для пользователя;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37" w:hRule="atLeast"/>
        </w:trPr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«Схема установки оборудования» должна содержать: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Место монтажа оборудования на ТС и схему подключения электропитания к оборудованию.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 гарантии Исполнителя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выезд специалиста по заявке Заказчика к месту базирования ТС (при необходимости);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диагностика бортового оборудования и средств его подключения к схеме ТС;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отчет о выявленных причинах неработоспособности бортового оборудования.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Если в течение срока гарантии выявляются дефекты, Подрядчик обязан за свой счет произвести ремонт в срок не более 21 (двадцати одного) дня с даты получения заявки в письменном виде или по факсу. Гарантийный срок должен продлеваться на время, затраченное на ремонт и/или замену изделия.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Срок реагирования на заявку Заказчика, не более 3 трех (календарных) дней с даты обращения.</w:t>
            </w: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 xml:space="preserve"> Заказчик может подать заявку любым доступным способом, как-то: посредством телефонного обращения, электронного сообщения закрепленному менеджеру, либо размещения на ресурсе автоматизированной системы приема заявок (при наличии).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Подрядчик гарантирует работоспособность Системы в течение гарантийного срока при условии соблюдения правил эксплуатации, изложенных в технической документации.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Гарантийным обязательством считается обеспечение штатной работоспособности Оборудования в рамках Системы, включая бесплатный ремонт с заменой неисправных деталей или товара в целом, последующую повторную наладку и поверку приборов, переустановку и обновление программного обеспечения.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Гарантия должна распространяться на все оборудование, используемые расходные материалы и программное обеспечение, в том числе на качество материала изготовления, на качество и износостойкость узлов и отдельных деталей, на качество и износостойкость рабочих поверхностей.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35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lang w:val="ru-RU" w:eastAsia="en-US" w:bidi="ar-SA"/>
              </w:rPr>
              <w:t>В течение срока гарантии, в случае наступления гарантийных обязательств Подрядчик обязуется обеспечить выезд специалиста по адресу Заказчика для диагностики и определения неполадок.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keepLines/>
        <w:numPr>
          <w:ilvl w:val="0"/>
          <w:numId w:val="3"/>
        </w:numPr>
        <w:spacing w:before="120" w:after="60"/>
        <w:ind w:left="357" w:hanging="357"/>
        <w:jc w:val="center"/>
        <w:outlineLvl w:val="0"/>
        <w:rPr>
          <w:rFonts w:eastAsia="Calibri"/>
          <w:b/>
          <w:sz w:val="24"/>
          <w:szCs w:val="24"/>
          <w:lang w:eastAsia="x-none"/>
        </w:rPr>
      </w:pPr>
      <w:bookmarkStart w:id="27" w:name="_Toc75446583"/>
      <w:bookmarkStart w:id="28" w:name="_Toc53393312"/>
      <w:bookmarkStart w:id="29" w:name="_Toc46743519"/>
      <w:bookmarkStart w:id="30" w:name="_Toc51339699"/>
      <w:bookmarkEnd w:id="29"/>
      <w:bookmarkEnd w:id="30"/>
      <w:r>
        <w:rPr>
          <w:rFonts w:eastAsia="Calibri"/>
          <w:b/>
          <w:sz w:val="24"/>
          <w:szCs w:val="24"/>
          <w:lang w:eastAsia="x-none"/>
        </w:rPr>
        <w:t>Требования к документации по ценообразованию</w:t>
      </w:r>
      <w:bookmarkEnd w:id="28"/>
      <w:r>
        <w:rPr>
          <w:rFonts w:eastAsia="Calibri"/>
          <w:b/>
          <w:sz w:val="24"/>
          <w:szCs w:val="24"/>
          <w:lang w:eastAsia="x-none"/>
        </w:rPr>
        <w:t xml:space="preserve"> на этапе закупки</w:t>
      </w:r>
      <w:bookmarkEnd w:id="27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  <w:t>3.1.</w:t>
        <w:tab/>
        <w:t>В обоснование стоимости Участник предоставляет Коммерческое предложение в соответствии с перечнем и объемом закупаемых услуг Таблицы 1.1. настоящего Технического требования.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  <w:t>3.2.</w:t>
        <w:tab/>
        <w:t>В цену услуг должны быть включены все затраты, связанные с исполнением обязательств,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Договору.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0"/>
        <w:outlineLvl w:val="0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  <w:bookmarkStart w:id="31" w:name="_Toc46743519_Копия_1"/>
      <w:bookmarkStart w:id="32" w:name="_Toc51339699_Копия_1"/>
      <w:bookmarkStart w:id="33" w:name="_Toc46743519_Копия_1"/>
      <w:bookmarkStart w:id="34" w:name="_Toc51339699_Копия_1"/>
      <w:bookmarkEnd w:id="33"/>
      <w:bookmarkEnd w:id="34"/>
    </w:p>
    <w:p>
      <w:pPr>
        <w:pStyle w:val="Normal"/>
        <w:tabs>
          <w:tab w:val="clear" w:pos="708"/>
          <w:tab w:val="left" w:pos="6946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Руководитель ГКЭОиРТС</w:t>
        <w:tab/>
      </w:r>
    </w:p>
    <w:p>
      <w:pPr>
        <w:pStyle w:val="Normal"/>
        <w:tabs>
          <w:tab w:val="clear" w:pos="708"/>
          <w:tab w:val="left" w:pos="7655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Камчатского филиала АО "ТК РусГидро" </w:t>
        <w:tab/>
      </w:r>
    </w:p>
    <w:p>
      <w:pPr>
        <w:pStyle w:val="Normal"/>
        <w:tabs>
          <w:tab w:val="clear" w:pos="708"/>
          <w:tab w:val="left" w:pos="7655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  <w:bookmarkStart w:id="35" w:name="_GoBack"/>
      <w:bookmarkStart w:id="36" w:name="_GoBack"/>
      <w:bookmarkEnd w:id="3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Cs/>
          <w:sz w:val="24"/>
          <w:szCs w:val="24"/>
          <w:shd w:fill="FFFF99" w:val="clear"/>
        </w:rPr>
      </w:pPr>
      <w:r>
        <w:rPr>
          <w:iCs/>
          <w:sz w:val="24"/>
          <w:szCs w:val="24"/>
          <w:shd w:fill="FFFF99" w:val="clear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ind w:left="-709" w:hanging="0"/>
        <w:rPr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600" w:hanging="600"/>
      </w:pPr>
      <w:rPr>
        <w:sz w:val="28"/>
        <w:b w:val="false"/>
        <w:rFonts w:eastAsia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600" w:hanging="600"/>
      </w:pPr>
      <w:rPr>
        <w:sz w:val="28"/>
        <w:b w:val="false"/>
        <w:rFonts w:eastAsia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8"/>
        <w:b w:val="false"/>
        <w:rFonts w:eastAsia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8"/>
        <w:b w:val="false"/>
        <w:rFonts w:eastAsia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  <w:b w:val="false"/>
        <w:rFonts w:eastAsia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8"/>
        <w:b w:val="false"/>
        <w:rFonts w:eastAsia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  <w:b w:val="false"/>
        <w:rFonts w:eastAsia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8"/>
        <w:b w:val="false"/>
        <w:rFonts w:eastAsia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sz w:val="28"/>
        <w:b w:val="false"/>
        <w:rFonts w:eastAsia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866914"/>
    <w:pPr>
      <w:keepNext w:val="true"/>
      <w:numPr>
        <w:ilvl w:val="2"/>
        <w:numId w:val="3"/>
      </w:numPr>
      <w:spacing w:before="120" w:after="60"/>
      <w:ind w:left="0" w:firstLine="63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86691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Цифровой список1"/>
    <w:basedOn w:val="Normal"/>
    <w:qFormat/>
    <w:rsid w:val="0048259c"/>
    <w:pPr>
      <w:spacing w:before="120" w:after="0"/>
      <w:ind w:left="644" w:hanging="360"/>
      <w:jc w:val="both"/>
    </w:pPr>
    <w:rPr>
      <w:rFonts w:eastAsia="Calibri"/>
      <w:color w:val="000000"/>
      <w:sz w:val="24"/>
      <w:szCs w:val="22"/>
      <w:lang w:eastAsia="en-US"/>
    </w:rPr>
  </w:style>
  <w:style w:type="paragraph" w:styleId="333" w:customStyle="1">
    <w:name w:val="Пункт 3.3.3"/>
    <w:basedOn w:val="Heading3"/>
    <w:qFormat/>
    <w:rsid w:val="0048259c"/>
    <w:pPr>
      <w:keepNext w:val="false"/>
      <w:widowControl w:val="false"/>
      <w:numPr>
        <w:ilvl w:val="0"/>
        <w:numId w:val="0"/>
      </w:numPr>
      <w:tabs>
        <w:tab w:val="clear" w:pos="708"/>
        <w:tab w:val="left" w:pos="360" w:leader="none"/>
      </w:tabs>
      <w:overflowPunct w:val="false"/>
      <w:spacing w:before="0" w:after="120"/>
      <w:ind w:left="0" w:firstLine="63"/>
    </w:pPr>
    <w:rPr>
      <w:rFonts w:ascii="Arial" w:hAnsi="Arial"/>
      <w:b w:val="false"/>
      <w:szCs w:val="22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7764-C340-4013-9DCE-0C826A20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AlterOffice/2025.2.1.0$Linux_X86_64 LibreOffice_project/d2c615264c9535987c375e0f04a158be6015ce3d</Application>
  <AppVersion>15.0000</AppVersion>
  <Pages>18</Pages>
  <Words>2229</Words>
  <Characters>15325</Characters>
  <CharactersWithSpaces>17123</CharactersWithSpaces>
  <Paragraphs>441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2025-02-17T03:47:00Z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2026-06-29T15:29:46Z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599337675</vt:i4>
  </property>
</Properties>
</file>