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74BDF576" w14:textId="5A2803B8" w:rsidR="0009233C" w:rsidRDefault="009B2739" w:rsidP="009B2739">
      <w:pPr>
        <w:keepNext/>
        <w:keepLines/>
        <w:tabs>
          <w:tab w:val="left" w:pos="4820"/>
        </w:tabs>
        <w:spacing w:line="276" w:lineRule="auto"/>
        <w:ind w:firstLine="0"/>
        <w:jc w:val="center"/>
        <w:rPr>
          <w:b/>
          <w:bCs/>
        </w:rPr>
      </w:pPr>
      <w:bookmarkStart w:id="0" w:name="bookmark2"/>
      <w:r w:rsidRPr="009B2739">
        <w:rPr>
          <w:b/>
          <w:bCs/>
        </w:rPr>
        <w:t>ЧАСТЬ V. ОБОСНОВАНИЕ ОБЩЕЙ НАЧАЛЬНОЙ (МАКСИМАЛЬНОЙ) ЦЕНЫ ЗА ЕДИНИЦУ ТОВАРА, РАБОТ, УСЛУГ</w:t>
      </w:r>
    </w:p>
    <w:p w14:paraId="4C2383AF" w14:textId="77777777" w:rsidR="009B2739" w:rsidRDefault="009B2739" w:rsidP="009B2739">
      <w:pPr>
        <w:keepNext/>
        <w:keepLines/>
        <w:tabs>
          <w:tab w:val="left" w:pos="4820"/>
        </w:tabs>
        <w:spacing w:line="276" w:lineRule="auto"/>
        <w:ind w:firstLine="0"/>
        <w:jc w:val="center"/>
        <w:rPr>
          <w:b/>
        </w:rPr>
      </w:pPr>
    </w:p>
    <w:p w14:paraId="3594AF60" w14:textId="77777777" w:rsidR="00EF3A9F" w:rsidRPr="00EF3A9F" w:rsidRDefault="00EF3A9F" w:rsidP="00EF3A9F">
      <w:pPr>
        <w:ind w:right="-3" w:firstLine="708"/>
        <w:rPr>
          <w:rFonts w:eastAsia="Calibri"/>
          <w:color w:val="000000"/>
          <w:lang w:val="ru"/>
        </w:rPr>
      </w:pPr>
      <w:r w:rsidRPr="00EF3A9F">
        <w:rPr>
          <w:rFonts w:eastAsia="Calibri"/>
          <w:b/>
          <w:color w:val="000000"/>
          <w:sz w:val="28"/>
          <w:szCs w:val="28"/>
          <w:lang w:val="ru" w:eastAsia="en-US"/>
        </w:rPr>
        <w:t xml:space="preserve">Наименование закупки: </w:t>
      </w:r>
      <w:r w:rsidRPr="00EF3A9F">
        <w:rPr>
          <w:rFonts w:eastAsia="Calibri"/>
          <w:sz w:val="28"/>
          <w:szCs w:val="28"/>
          <w:lang w:eastAsia="en-US"/>
        </w:rPr>
        <w:t xml:space="preserve">Ценовой отбор МСП (301) в электронной форме на право заключения договора «Оказание услуг по перевозке почтовых отправлений и прочих товарно-материальных ценностей автотранспортом </w:t>
      </w:r>
      <w:r w:rsidRPr="00EF3A9F">
        <w:rPr>
          <w:rFonts w:eastAsia="Calibri"/>
          <w:sz w:val="28"/>
          <w:szCs w:val="28"/>
          <w:lang w:eastAsia="en-US"/>
        </w:rPr>
        <w:br/>
        <w:t>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p>
    <w:p w14:paraId="2418CBD2" w14:textId="77777777" w:rsidR="00EF3A9F" w:rsidRPr="00EF3A9F" w:rsidRDefault="00EF3A9F" w:rsidP="00EF3A9F">
      <w:pPr>
        <w:ind w:right="-3" w:firstLine="0"/>
        <w:rPr>
          <w:rFonts w:eastAsia="Arial Unicode MS" w:cs="Arial Unicode MS"/>
          <w:color w:val="000000"/>
          <w:sz w:val="28"/>
          <w:szCs w:val="28"/>
          <w:lang w:val="ru"/>
        </w:rPr>
      </w:pPr>
    </w:p>
    <w:p w14:paraId="664FF7E0" w14:textId="77777777" w:rsidR="00EF3A9F" w:rsidRPr="00EF3A9F" w:rsidRDefault="00EF3A9F" w:rsidP="00EF3A9F">
      <w:pPr>
        <w:ind w:left="20" w:firstLine="688"/>
        <w:rPr>
          <w:rFonts w:eastAsia="Arial Unicode MS" w:cs="Arial Unicode MS"/>
          <w:color w:val="000000"/>
          <w:sz w:val="28"/>
          <w:szCs w:val="28"/>
        </w:rPr>
      </w:pPr>
      <w:r w:rsidRPr="00EF3A9F">
        <w:rPr>
          <w:rFonts w:eastAsia="Calibri"/>
          <w:b/>
          <w:sz w:val="28"/>
          <w:szCs w:val="28"/>
          <w:lang w:eastAsia="en-US"/>
        </w:rPr>
        <w:t>Начальная (</w:t>
      </w:r>
      <w:r w:rsidRPr="00EF3A9F">
        <w:rPr>
          <w:rFonts w:eastAsia="Arial Unicode MS" w:cs="Arial Unicode MS"/>
          <w:b/>
          <w:color w:val="000000"/>
          <w:sz w:val="28"/>
          <w:szCs w:val="28"/>
        </w:rPr>
        <w:t>максимальная) цена договора составляет</w:t>
      </w:r>
      <w:r w:rsidRPr="00EF3A9F">
        <w:rPr>
          <w:rFonts w:eastAsia="Arial Unicode MS" w:cs="Arial Unicode MS"/>
          <w:color w:val="000000"/>
          <w:sz w:val="28"/>
          <w:szCs w:val="28"/>
        </w:rPr>
        <w:t xml:space="preserve">: 20 000 000 (двадцать миллионов) рублей 00 копеек, в том числе НДС в размере ставки, </w:t>
      </w:r>
      <w:r w:rsidRPr="00EF3A9F">
        <w:rPr>
          <w:rFonts w:eastAsia="Calibri"/>
          <w:sz w:val="28"/>
          <w:szCs w:val="28"/>
          <w:lang w:eastAsia="en-US"/>
        </w:rPr>
        <w:t>определенной в Главе 21 Налогового Кодекса РФ.</w:t>
      </w:r>
      <w:r w:rsidRPr="00EF3A9F">
        <w:rPr>
          <w:rFonts w:eastAsia="Arial Unicode MS" w:cs="Arial Unicode MS"/>
          <w:color w:val="000000"/>
          <w:sz w:val="28"/>
          <w:szCs w:val="28"/>
        </w:rPr>
        <w:t xml:space="preserve"> </w:t>
      </w:r>
      <w:r w:rsidRPr="00EF3A9F">
        <w:rPr>
          <w:rFonts w:eastAsia="Calibri"/>
          <w:sz w:val="28"/>
          <w:szCs w:val="28"/>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24E53C3F" w14:textId="77777777" w:rsidR="00EF3A9F" w:rsidRPr="00EF3A9F" w:rsidRDefault="00EF3A9F" w:rsidP="00EF3A9F">
      <w:pPr>
        <w:ind w:left="20" w:firstLine="0"/>
        <w:rPr>
          <w:rFonts w:eastAsia="Calibri"/>
          <w:sz w:val="28"/>
          <w:szCs w:val="28"/>
          <w:lang w:eastAsia="en-US"/>
        </w:rPr>
      </w:pPr>
    </w:p>
    <w:p w14:paraId="0944F7A2" w14:textId="77777777" w:rsidR="00EF3A9F" w:rsidRPr="00EF3A9F" w:rsidRDefault="00EF3A9F" w:rsidP="00EF3A9F">
      <w:pPr>
        <w:spacing w:line="259" w:lineRule="auto"/>
        <w:ind w:firstLine="708"/>
        <w:rPr>
          <w:rFonts w:eastAsia="Arial Unicode MS" w:cs="Arial Unicode MS"/>
          <w:sz w:val="28"/>
          <w:szCs w:val="28"/>
          <w:lang w:val="ru"/>
        </w:rPr>
      </w:pPr>
      <w:r w:rsidRPr="00EF3A9F">
        <w:rPr>
          <w:rFonts w:eastAsia="Arial Unicode MS" w:cs="Arial Unicode MS"/>
          <w:b/>
          <w:sz w:val="28"/>
          <w:szCs w:val="28"/>
          <w:lang w:val="ru"/>
        </w:rPr>
        <w:t xml:space="preserve">Общая начальная (максимальная) цена </w:t>
      </w:r>
      <w:r w:rsidRPr="00EF3A9F">
        <w:rPr>
          <w:rFonts w:eastAsia="Arial Unicode MS" w:cs="Arial Unicode MS"/>
          <w:sz w:val="28"/>
          <w:szCs w:val="28"/>
          <w:lang w:val="ru"/>
        </w:rPr>
        <w:t xml:space="preserve">за единицу </w:t>
      </w:r>
      <w:r w:rsidRPr="00EF3A9F">
        <w:rPr>
          <w:rFonts w:eastAsia="Arial Unicode MS" w:cs="Arial Unicode MS"/>
          <w:sz w:val="28"/>
          <w:szCs w:val="28"/>
        </w:rPr>
        <w:t xml:space="preserve">товаров/работ/услуг </w:t>
      </w:r>
      <w:r w:rsidRPr="00EF3A9F">
        <w:rPr>
          <w:rFonts w:eastAsia="Arial Unicode MS" w:cs="Arial Unicode MS"/>
          <w:sz w:val="28"/>
          <w:szCs w:val="28"/>
          <w:lang w:val="ru"/>
        </w:rPr>
        <w:t>составляет</w:t>
      </w:r>
      <w:r w:rsidRPr="00EF3A9F">
        <w:rPr>
          <w:sz w:val="28"/>
          <w:szCs w:val="28"/>
        </w:rPr>
        <w:t xml:space="preserve">: 70 000 (семьдесят тысяч) рублей 00 копеек, </w:t>
      </w:r>
      <w:r w:rsidRPr="00EF3A9F">
        <w:rPr>
          <w:rFonts w:eastAsia="Calibri"/>
          <w:sz w:val="28"/>
          <w:szCs w:val="28"/>
          <w:lang w:val="ru"/>
        </w:rPr>
        <w:t xml:space="preserve">в том числе НДС, </w:t>
      </w:r>
      <w:r w:rsidRPr="00EF3A9F">
        <w:rPr>
          <w:rFonts w:eastAsia="Arial Unicode MS"/>
          <w:sz w:val="28"/>
          <w:szCs w:val="28"/>
          <w:lang w:val="ru"/>
        </w:rPr>
        <w:t>в размере ставки, определенной в Главе 21 Налогового Кодекса РФ</w:t>
      </w:r>
      <w:r w:rsidRPr="00EF3A9F">
        <w:rPr>
          <w:rFonts w:eastAsia="Arial Unicode MS" w:cs="Arial Unicode MS"/>
          <w:sz w:val="28"/>
          <w:szCs w:val="28"/>
          <w:lang w:val="ru"/>
        </w:rPr>
        <w:t>.</w:t>
      </w:r>
      <w:r w:rsidRPr="00EF3A9F">
        <w:rPr>
          <w:rFonts w:eastAsia="Arial Unicode MS" w:cs="Arial Unicode MS"/>
          <w:sz w:val="28"/>
          <w:szCs w:val="28"/>
        </w:rPr>
        <w:t xml:space="preserve"> Общая </w:t>
      </w:r>
      <w:r w:rsidRPr="00EF3A9F">
        <w:rPr>
          <w:rFonts w:eastAsia="Arial Unicode MS" w:cs="Arial Unicode MS"/>
          <w:sz w:val="28"/>
          <w:szCs w:val="28"/>
          <w:lang w:val="ru"/>
        </w:rPr>
        <w:t>начальная (максимальная) цена</w:t>
      </w:r>
      <w:r w:rsidRPr="00EF3A9F">
        <w:rPr>
          <w:rFonts w:eastAsia="Arial Unicode MS" w:cs="Arial Unicode MS"/>
          <w:sz w:val="28"/>
          <w:szCs w:val="28"/>
        </w:rPr>
        <w:t xml:space="preserve"> за единицу товаров/работ/услуг</w:t>
      </w:r>
      <w:r w:rsidRPr="00EF3A9F">
        <w:rPr>
          <w:rFonts w:eastAsia="Arial Unicode MS" w:cs="Arial Unicode MS"/>
          <w:sz w:val="28"/>
          <w:szCs w:val="28"/>
          <w:lang w:val="ru"/>
        </w:rPr>
        <w:t xml:space="preserve"> включает в себя расходы на перевозку, страхование, уплату таможенных пошлин, налогов и других обязательных платежей.</w:t>
      </w:r>
    </w:p>
    <w:p w14:paraId="35DCC4EA" w14:textId="77777777" w:rsidR="00EF3A9F" w:rsidRPr="00EF3A9F" w:rsidRDefault="00EF3A9F" w:rsidP="00EF3A9F">
      <w:pPr>
        <w:spacing w:line="259" w:lineRule="auto"/>
        <w:ind w:firstLine="0"/>
        <w:rPr>
          <w:rFonts w:eastAsia="Calibri"/>
          <w:sz w:val="28"/>
          <w:szCs w:val="28"/>
          <w:lang w:val="ru" w:eastAsia="en-US"/>
        </w:rPr>
      </w:pPr>
    </w:p>
    <w:p w14:paraId="717B0E49" w14:textId="77777777" w:rsidR="00EF3A9F" w:rsidRPr="00EF3A9F" w:rsidRDefault="00EF3A9F" w:rsidP="00EF3A9F">
      <w:pPr>
        <w:ind w:firstLine="708"/>
        <w:rPr>
          <w:rFonts w:eastAsia="Arial Unicode MS" w:cs="Arial Unicode MS"/>
          <w:color w:val="000000"/>
          <w:sz w:val="28"/>
          <w:szCs w:val="28"/>
          <w:lang w:val="ru"/>
        </w:rPr>
      </w:pPr>
      <w:r w:rsidRPr="00EF3A9F">
        <w:rPr>
          <w:rFonts w:eastAsia="Arial Unicode MS" w:cs="Arial Unicode MS"/>
          <w:b/>
          <w:color w:val="000000"/>
          <w:sz w:val="28"/>
          <w:szCs w:val="28"/>
          <w:lang w:val="ru"/>
        </w:rPr>
        <w:t>Используемый метод определения НМЦ</w:t>
      </w:r>
      <w:r w:rsidRPr="00EF3A9F">
        <w:rPr>
          <w:rFonts w:eastAsia="Arial Unicode MS" w:cs="Arial Unicode MS"/>
          <w:color w:val="000000"/>
          <w:sz w:val="28"/>
          <w:szCs w:val="28"/>
          <w:lang w:val="ru"/>
        </w:rPr>
        <w:t xml:space="preserve">: </w:t>
      </w:r>
    </w:p>
    <w:p w14:paraId="18DFF916" w14:textId="77777777" w:rsidR="00EF3A9F" w:rsidRPr="00EF3A9F" w:rsidRDefault="00EF3A9F" w:rsidP="00EF3A9F">
      <w:pPr>
        <w:ind w:firstLine="0"/>
        <w:rPr>
          <w:rFonts w:eastAsia="Calibri"/>
          <w:color w:val="000000"/>
          <w:sz w:val="28"/>
          <w:szCs w:val="28"/>
          <w:lang w:val="ru"/>
        </w:rPr>
      </w:pPr>
      <w:r w:rsidRPr="00EF3A9F">
        <w:rPr>
          <w:rFonts w:eastAsia="Arial Unicode MS" w:cs="Arial Unicode MS"/>
          <w:color w:val="000000"/>
          <w:sz w:val="28"/>
          <w:szCs w:val="28"/>
          <w:lang w:val="ru"/>
        </w:rPr>
        <w:t>Расчет НМЦ выполнен методом сопоставимых рыночных цен (анализа рынка)</w:t>
      </w:r>
      <w:r w:rsidRPr="00EF3A9F">
        <w:rPr>
          <w:rFonts w:eastAsia="Arial Unicode MS" w:cs="Arial Unicode MS"/>
          <w:color w:val="000000"/>
          <w:sz w:val="28"/>
          <w:szCs w:val="28"/>
        </w:rPr>
        <w:t>.</w:t>
      </w:r>
    </w:p>
    <w:p w14:paraId="6363907D" w14:textId="77777777" w:rsidR="00EF3A9F" w:rsidRPr="00EF3A9F" w:rsidRDefault="00EF3A9F" w:rsidP="00EF3A9F">
      <w:pPr>
        <w:spacing w:line="259" w:lineRule="auto"/>
        <w:ind w:firstLine="0"/>
        <w:rPr>
          <w:rFonts w:eastAsia="Arial Unicode MS" w:cs="Arial Unicode MS"/>
          <w:color w:val="000000"/>
          <w:sz w:val="28"/>
          <w:szCs w:val="28"/>
          <w:lang w:val="ru"/>
        </w:rPr>
      </w:pPr>
    </w:p>
    <w:p w14:paraId="7DAB00E5" w14:textId="77777777" w:rsidR="00EF3A9F" w:rsidRPr="00EF3A9F" w:rsidRDefault="00EF3A9F" w:rsidP="00EF3A9F">
      <w:pPr>
        <w:ind w:firstLine="567"/>
        <w:rPr>
          <w:rFonts w:eastAsia="Arial Unicode MS" w:cs="Arial Unicode MS"/>
          <w:color w:val="000000"/>
          <w:sz w:val="28"/>
          <w:szCs w:val="28"/>
        </w:rPr>
      </w:pPr>
      <w:r w:rsidRPr="00EF3A9F">
        <w:rPr>
          <w:rFonts w:eastAsia="Arial Unicode MS" w:cs="Arial Unicode MS"/>
          <w:b/>
          <w:color w:val="000000"/>
          <w:sz w:val="28"/>
          <w:szCs w:val="28"/>
          <w:lang w:val="ru"/>
        </w:rPr>
        <w:t>Расчет НМЦ</w:t>
      </w:r>
      <w:r w:rsidRPr="00EF3A9F">
        <w:rPr>
          <w:rFonts w:eastAsia="Arial Unicode MS" w:cs="Arial Unicode MS"/>
          <w:color w:val="000000"/>
          <w:sz w:val="28"/>
          <w:szCs w:val="28"/>
          <w:lang w:val="ru"/>
        </w:rPr>
        <w:t>:</w:t>
      </w:r>
      <w:r w:rsidRPr="00EF3A9F">
        <w:rPr>
          <w:rFonts w:eastAsia="Arial Unicode MS" w:cs="Arial Unicode MS"/>
          <w:color w:val="000000"/>
          <w:sz w:val="28"/>
          <w:szCs w:val="28"/>
        </w:rPr>
        <w:t xml:space="preserve"> </w:t>
      </w:r>
      <w:r w:rsidRPr="00EF3A9F">
        <w:rPr>
          <w:rFonts w:eastAsia="Arial Unicode MS" w:cs="Arial Unicode MS"/>
          <w:color w:val="000000"/>
          <w:sz w:val="28"/>
          <w:szCs w:val="28"/>
          <w:lang w:val="ru"/>
        </w:rPr>
        <w:t xml:space="preserve">Расчет произведен на основании ценовой информации, полученной </w:t>
      </w:r>
      <w:r w:rsidRPr="00EF3A9F">
        <w:rPr>
          <w:rFonts w:eastAsia="Arial Unicode MS" w:cs="Arial Unicode MS"/>
          <w:color w:val="000000"/>
          <w:sz w:val="28"/>
          <w:szCs w:val="28"/>
        </w:rPr>
        <w:t>посредством ЭТП и адресных запросов.</w:t>
      </w:r>
    </w:p>
    <w:p w14:paraId="244E4A34" w14:textId="77777777" w:rsidR="00EF3A9F" w:rsidRPr="00EF3A9F" w:rsidRDefault="00EF3A9F" w:rsidP="00EF3A9F">
      <w:pPr>
        <w:ind w:firstLine="567"/>
        <w:rPr>
          <w:rFonts w:eastAsia="Arial Unicode MS" w:cs="Arial Unicode MS"/>
          <w:color w:val="000000"/>
          <w:sz w:val="28"/>
          <w:szCs w:val="28"/>
        </w:rPr>
      </w:pPr>
    </w:p>
    <w:p w14:paraId="6A816DDA" w14:textId="77777777" w:rsidR="00EF3A9F" w:rsidRPr="00EF3A9F" w:rsidRDefault="00EF3A9F" w:rsidP="00EF3A9F">
      <w:pPr>
        <w:ind w:firstLine="567"/>
        <w:rPr>
          <w:rFonts w:eastAsia="Arial Unicode MS" w:cs="Arial Unicode MS"/>
          <w:color w:val="000000"/>
          <w:sz w:val="28"/>
          <w:szCs w:val="28"/>
          <w:lang w:val="ru"/>
        </w:rPr>
      </w:pPr>
      <w:r w:rsidRPr="00EF3A9F">
        <w:rPr>
          <w:rFonts w:eastAsia="Arial Unicode MS" w:cs="Arial Unicode MS"/>
          <w:color w:val="000000"/>
          <w:sz w:val="28"/>
          <w:szCs w:val="28"/>
          <w:lang w:val="ru"/>
        </w:rPr>
        <w:t>Приложение: Расчет начальной (максимальной) цены договора.</w:t>
      </w:r>
    </w:p>
    <w:p w14:paraId="486F797A" w14:textId="0B5794FF" w:rsidR="0009233C" w:rsidRPr="00EF3A9F" w:rsidRDefault="0009233C" w:rsidP="00996AF9">
      <w:pPr>
        <w:rPr>
          <w:b/>
          <w:sz w:val="28"/>
          <w:szCs w:val="28"/>
          <w:lang w:val="ru"/>
        </w:rPr>
      </w:pPr>
    </w:p>
    <w:p w14:paraId="39FBB05C" w14:textId="77777777" w:rsidR="0013413F" w:rsidRDefault="0013413F" w:rsidP="00996AF9">
      <w:pPr>
        <w:rPr>
          <w:b/>
          <w:sz w:val="28"/>
          <w:szCs w:val="28"/>
        </w:rPr>
      </w:pPr>
    </w:p>
    <w:p w14:paraId="0549A897" w14:textId="0B56F6A5" w:rsidR="0009233C" w:rsidRDefault="0009233C" w:rsidP="00996AF9">
      <w:pPr>
        <w:rPr>
          <w:b/>
          <w:sz w:val="28"/>
          <w:szCs w:val="28"/>
        </w:rPr>
      </w:pPr>
    </w:p>
    <w:p w14:paraId="2240BC5C" w14:textId="2886D38A" w:rsidR="0009233C" w:rsidRDefault="0009233C" w:rsidP="00996AF9">
      <w:pPr>
        <w:rPr>
          <w:b/>
          <w:sz w:val="28"/>
          <w:szCs w:val="28"/>
        </w:rPr>
      </w:pPr>
    </w:p>
    <w:p w14:paraId="576E1EDC" w14:textId="74185B8C" w:rsidR="0009233C" w:rsidRDefault="0009233C" w:rsidP="00996AF9">
      <w:pPr>
        <w:rPr>
          <w:b/>
          <w:sz w:val="28"/>
          <w:szCs w:val="28"/>
        </w:rPr>
      </w:pPr>
    </w:p>
    <w:p w14:paraId="657CF322" w14:textId="05884123" w:rsidR="00935809" w:rsidRDefault="00935809" w:rsidP="00996AF9">
      <w:pPr>
        <w:rPr>
          <w:b/>
          <w:sz w:val="28"/>
          <w:szCs w:val="28"/>
        </w:rPr>
      </w:pPr>
    </w:p>
    <w:p w14:paraId="573790C3" w14:textId="09B979C3" w:rsidR="00935809" w:rsidRDefault="00935809" w:rsidP="00996AF9">
      <w:pPr>
        <w:rPr>
          <w:b/>
          <w:sz w:val="28"/>
          <w:szCs w:val="28"/>
        </w:rPr>
      </w:pPr>
    </w:p>
    <w:p w14:paraId="2B80D70D" w14:textId="08C6E3D2" w:rsidR="00935809" w:rsidRDefault="00935809" w:rsidP="00996AF9">
      <w:pPr>
        <w:rPr>
          <w:b/>
          <w:sz w:val="28"/>
          <w:szCs w:val="28"/>
        </w:rPr>
      </w:pPr>
    </w:p>
    <w:p w14:paraId="511E9773" w14:textId="1DA4FE68" w:rsidR="00935809" w:rsidRDefault="00935809" w:rsidP="00996AF9">
      <w:pPr>
        <w:rPr>
          <w:b/>
          <w:sz w:val="28"/>
          <w:szCs w:val="28"/>
        </w:rPr>
      </w:pPr>
    </w:p>
    <w:p w14:paraId="22A6D611" w14:textId="77777777" w:rsidR="00935809" w:rsidRDefault="00935809" w:rsidP="00996AF9">
      <w:pPr>
        <w:rPr>
          <w:b/>
          <w:sz w:val="28"/>
          <w:szCs w:val="28"/>
        </w:rPr>
        <w:sectPr w:rsidR="00935809" w:rsidSect="001A1605">
          <w:headerReference w:type="first" r:id="rId8"/>
          <w:pgSz w:w="11906" w:h="16838"/>
          <w:pgMar w:top="851" w:right="709" w:bottom="1134" w:left="1418" w:header="709" w:footer="709" w:gutter="0"/>
          <w:cols w:space="708"/>
          <w:docGrid w:linePitch="360"/>
        </w:sectPr>
      </w:pPr>
    </w:p>
    <w:p w14:paraId="1FA954E3" w14:textId="3DA1D31F" w:rsidR="0009233C" w:rsidRPr="00935809" w:rsidRDefault="00ED6C19" w:rsidP="00ED6C19">
      <w:pPr>
        <w:jc w:val="right"/>
      </w:pPr>
      <w:r w:rsidRPr="00935809">
        <w:lastRenderedPageBreak/>
        <w:t xml:space="preserve">Приложение № 1 к части </w:t>
      </w:r>
      <w:r w:rsidRPr="00935809">
        <w:rPr>
          <w:lang w:val="en-US"/>
        </w:rPr>
        <w:t>V</w:t>
      </w:r>
    </w:p>
    <w:tbl>
      <w:tblPr>
        <w:tblW w:w="5140" w:type="pct"/>
        <w:tblLook w:val="04A0" w:firstRow="1" w:lastRow="0" w:firstColumn="1" w:lastColumn="0" w:noHBand="0" w:noVBand="1"/>
      </w:tblPr>
      <w:tblGrid>
        <w:gridCol w:w="702"/>
        <w:gridCol w:w="2913"/>
        <w:gridCol w:w="1029"/>
        <w:gridCol w:w="1118"/>
        <w:gridCol w:w="1189"/>
        <w:gridCol w:w="1183"/>
        <w:gridCol w:w="1137"/>
        <w:gridCol w:w="1081"/>
        <w:gridCol w:w="1047"/>
        <w:gridCol w:w="1282"/>
        <w:gridCol w:w="1335"/>
        <w:gridCol w:w="1419"/>
        <w:gridCol w:w="12"/>
      </w:tblGrid>
      <w:tr w:rsidR="004375A3" w:rsidRPr="004375A3" w14:paraId="11DBDEA3" w14:textId="77777777" w:rsidTr="004375A3">
        <w:trPr>
          <w:trHeight w:val="1470"/>
        </w:trPr>
        <w:tc>
          <w:tcPr>
            <w:tcW w:w="5000" w:type="pct"/>
            <w:gridSpan w:val="13"/>
            <w:tcBorders>
              <w:top w:val="nil"/>
              <w:left w:val="nil"/>
              <w:bottom w:val="nil"/>
              <w:right w:val="nil"/>
            </w:tcBorders>
            <w:shd w:val="clear" w:color="auto" w:fill="auto"/>
            <w:vAlign w:val="center"/>
            <w:hideMark/>
          </w:tcPr>
          <w:bookmarkEnd w:id="0"/>
          <w:p w14:paraId="62F2A61F" w14:textId="77777777" w:rsidR="004375A3" w:rsidRPr="004375A3" w:rsidRDefault="004375A3" w:rsidP="004375A3">
            <w:pPr>
              <w:ind w:firstLine="0"/>
              <w:jc w:val="center"/>
              <w:rPr>
                <w:b/>
                <w:bCs/>
                <w:color w:val="000000"/>
              </w:rPr>
            </w:pPr>
            <w:r w:rsidRPr="004375A3">
              <w:rPr>
                <w:b/>
                <w:bCs/>
                <w:color w:val="000000"/>
              </w:rPr>
              <w:t>Расчет начальной (максимальной) цены договора методом сопоставимых рыночных цен (анализа рынка)</w:t>
            </w:r>
            <w:r w:rsidRPr="004375A3">
              <w:rPr>
                <w:b/>
                <w:bCs/>
                <w:color w:val="000000"/>
              </w:rPr>
              <w:br/>
              <w:t>Оказание услуг по перевозке почтовых отправлений и прочих товарно-материальных ценностей автотранспортом 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p>
        </w:tc>
      </w:tr>
      <w:tr w:rsidR="004375A3" w:rsidRPr="004375A3" w14:paraId="362120F5" w14:textId="77777777" w:rsidTr="004375A3">
        <w:trPr>
          <w:gridAfter w:val="1"/>
          <w:wAfter w:w="6" w:type="pct"/>
          <w:trHeight w:val="300"/>
        </w:trPr>
        <w:tc>
          <w:tcPr>
            <w:tcW w:w="227" w:type="pct"/>
            <w:tcBorders>
              <w:top w:val="nil"/>
              <w:left w:val="nil"/>
              <w:bottom w:val="nil"/>
              <w:right w:val="nil"/>
            </w:tcBorders>
            <w:shd w:val="clear" w:color="auto" w:fill="auto"/>
            <w:noWrap/>
            <w:vAlign w:val="bottom"/>
            <w:hideMark/>
          </w:tcPr>
          <w:p w14:paraId="3AF8D1DB" w14:textId="77777777" w:rsidR="004375A3" w:rsidRPr="004375A3" w:rsidRDefault="004375A3" w:rsidP="004375A3">
            <w:pPr>
              <w:ind w:firstLine="0"/>
              <w:jc w:val="center"/>
              <w:rPr>
                <w:b/>
                <w:bCs/>
                <w:color w:val="000000"/>
              </w:rPr>
            </w:pPr>
          </w:p>
        </w:tc>
        <w:tc>
          <w:tcPr>
            <w:tcW w:w="943" w:type="pct"/>
            <w:tcBorders>
              <w:top w:val="nil"/>
              <w:left w:val="nil"/>
              <w:bottom w:val="nil"/>
              <w:right w:val="nil"/>
            </w:tcBorders>
            <w:shd w:val="clear" w:color="auto" w:fill="auto"/>
            <w:noWrap/>
            <w:vAlign w:val="bottom"/>
            <w:hideMark/>
          </w:tcPr>
          <w:p w14:paraId="769792B3" w14:textId="77777777" w:rsidR="004375A3" w:rsidRPr="004375A3" w:rsidRDefault="004375A3" w:rsidP="004375A3">
            <w:pPr>
              <w:ind w:firstLine="0"/>
              <w:jc w:val="left"/>
              <w:rPr>
                <w:sz w:val="20"/>
                <w:szCs w:val="20"/>
              </w:rPr>
            </w:pPr>
          </w:p>
        </w:tc>
        <w:tc>
          <w:tcPr>
            <w:tcW w:w="333" w:type="pct"/>
            <w:tcBorders>
              <w:top w:val="nil"/>
              <w:left w:val="nil"/>
              <w:bottom w:val="nil"/>
              <w:right w:val="nil"/>
            </w:tcBorders>
            <w:shd w:val="clear" w:color="auto" w:fill="auto"/>
            <w:noWrap/>
            <w:vAlign w:val="bottom"/>
            <w:hideMark/>
          </w:tcPr>
          <w:p w14:paraId="2FE3DC8E" w14:textId="77777777" w:rsidR="004375A3" w:rsidRPr="004375A3" w:rsidRDefault="004375A3" w:rsidP="004375A3">
            <w:pPr>
              <w:ind w:firstLine="0"/>
              <w:jc w:val="left"/>
              <w:rPr>
                <w:sz w:val="20"/>
                <w:szCs w:val="20"/>
              </w:rPr>
            </w:pPr>
          </w:p>
        </w:tc>
        <w:tc>
          <w:tcPr>
            <w:tcW w:w="362" w:type="pct"/>
            <w:tcBorders>
              <w:top w:val="nil"/>
              <w:left w:val="nil"/>
              <w:bottom w:val="nil"/>
              <w:right w:val="nil"/>
            </w:tcBorders>
            <w:shd w:val="clear" w:color="auto" w:fill="auto"/>
            <w:noWrap/>
            <w:vAlign w:val="bottom"/>
            <w:hideMark/>
          </w:tcPr>
          <w:p w14:paraId="5391136B" w14:textId="77777777" w:rsidR="004375A3" w:rsidRPr="004375A3" w:rsidRDefault="004375A3" w:rsidP="004375A3">
            <w:pPr>
              <w:ind w:firstLine="0"/>
              <w:jc w:val="left"/>
              <w:rPr>
                <w:sz w:val="20"/>
                <w:szCs w:val="20"/>
              </w:rPr>
            </w:pPr>
          </w:p>
        </w:tc>
        <w:tc>
          <w:tcPr>
            <w:tcW w:w="385" w:type="pct"/>
            <w:tcBorders>
              <w:top w:val="nil"/>
              <w:left w:val="nil"/>
              <w:bottom w:val="nil"/>
              <w:right w:val="nil"/>
            </w:tcBorders>
            <w:shd w:val="clear" w:color="auto" w:fill="auto"/>
            <w:noWrap/>
            <w:vAlign w:val="bottom"/>
            <w:hideMark/>
          </w:tcPr>
          <w:p w14:paraId="7FA2D5EB" w14:textId="77777777" w:rsidR="004375A3" w:rsidRPr="004375A3" w:rsidRDefault="004375A3" w:rsidP="004375A3">
            <w:pPr>
              <w:ind w:firstLine="0"/>
              <w:jc w:val="left"/>
              <w:rPr>
                <w:sz w:val="20"/>
                <w:szCs w:val="20"/>
              </w:rPr>
            </w:pPr>
          </w:p>
        </w:tc>
        <w:tc>
          <w:tcPr>
            <w:tcW w:w="383" w:type="pct"/>
            <w:tcBorders>
              <w:top w:val="nil"/>
              <w:left w:val="nil"/>
              <w:bottom w:val="nil"/>
              <w:right w:val="nil"/>
            </w:tcBorders>
            <w:shd w:val="clear" w:color="auto" w:fill="auto"/>
            <w:noWrap/>
            <w:vAlign w:val="bottom"/>
            <w:hideMark/>
          </w:tcPr>
          <w:p w14:paraId="24F5A7B6" w14:textId="77777777" w:rsidR="004375A3" w:rsidRPr="004375A3" w:rsidRDefault="004375A3" w:rsidP="004375A3">
            <w:pPr>
              <w:ind w:firstLine="0"/>
              <w:jc w:val="left"/>
              <w:rPr>
                <w:sz w:val="20"/>
                <w:szCs w:val="20"/>
              </w:rPr>
            </w:pPr>
          </w:p>
        </w:tc>
        <w:tc>
          <w:tcPr>
            <w:tcW w:w="368" w:type="pct"/>
            <w:tcBorders>
              <w:top w:val="nil"/>
              <w:left w:val="nil"/>
              <w:bottom w:val="nil"/>
              <w:right w:val="nil"/>
            </w:tcBorders>
            <w:shd w:val="clear" w:color="auto" w:fill="auto"/>
            <w:noWrap/>
            <w:vAlign w:val="bottom"/>
            <w:hideMark/>
          </w:tcPr>
          <w:p w14:paraId="7F2FB706" w14:textId="77777777" w:rsidR="004375A3" w:rsidRPr="004375A3" w:rsidRDefault="004375A3" w:rsidP="004375A3">
            <w:pPr>
              <w:ind w:firstLine="0"/>
              <w:jc w:val="left"/>
              <w:rPr>
                <w:sz w:val="20"/>
                <w:szCs w:val="20"/>
              </w:rPr>
            </w:pPr>
          </w:p>
        </w:tc>
        <w:tc>
          <w:tcPr>
            <w:tcW w:w="350" w:type="pct"/>
            <w:tcBorders>
              <w:top w:val="nil"/>
              <w:left w:val="nil"/>
              <w:bottom w:val="nil"/>
              <w:right w:val="nil"/>
            </w:tcBorders>
            <w:shd w:val="clear" w:color="auto" w:fill="auto"/>
            <w:noWrap/>
            <w:vAlign w:val="bottom"/>
            <w:hideMark/>
          </w:tcPr>
          <w:p w14:paraId="648D4D13" w14:textId="77777777" w:rsidR="004375A3" w:rsidRPr="004375A3" w:rsidRDefault="004375A3" w:rsidP="004375A3">
            <w:pPr>
              <w:ind w:firstLine="0"/>
              <w:jc w:val="left"/>
              <w:rPr>
                <w:sz w:val="20"/>
                <w:szCs w:val="20"/>
              </w:rPr>
            </w:pPr>
          </w:p>
        </w:tc>
        <w:tc>
          <w:tcPr>
            <w:tcW w:w="339" w:type="pct"/>
            <w:tcBorders>
              <w:top w:val="nil"/>
              <w:left w:val="nil"/>
              <w:bottom w:val="nil"/>
              <w:right w:val="nil"/>
            </w:tcBorders>
            <w:shd w:val="clear" w:color="auto" w:fill="auto"/>
            <w:noWrap/>
            <w:vAlign w:val="bottom"/>
            <w:hideMark/>
          </w:tcPr>
          <w:p w14:paraId="1BD2C153"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7F4F4472"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1F01CB91"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22EB40C9" w14:textId="77777777" w:rsidR="004375A3" w:rsidRPr="004375A3" w:rsidRDefault="004375A3" w:rsidP="004375A3">
            <w:pPr>
              <w:ind w:firstLine="0"/>
              <w:jc w:val="left"/>
              <w:rPr>
                <w:sz w:val="20"/>
                <w:szCs w:val="20"/>
              </w:rPr>
            </w:pPr>
          </w:p>
        </w:tc>
      </w:tr>
      <w:tr w:rsidR="004375A3" w:rsidRPr="004375A3" w14:paraId="321EDB25" w14:textId="77777777" w:rsidTr="004375A3">
        <w:trPr>
          <w:gridAfter w:val="1"/>
          <w:wAfter w:w="6" w:type="pct"/>
          <w:trHeight w:val="619"/>
        </w:trPr>
        <w:tc>
          <w:tcPr>
            <w:tcW w:w="22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FFA2ADA" w14:textId="77777777" w:rsidR="004375A3" w:rsidRPr="004375A3" w:rsidRDefault="004375A3" w:rsidP="004375A3">
            <w:pPr>
              <w:ind w:firstLine="0"/>
              <w:jc w:val="center"/>
              <w:rPr>
                <w:color w:val="000000"/>
                <w:sz w:val="18"/>
                <w:szCs w:val="18"/>
              </w:rPr>
            </w:pPr>
            <w:r w:rsidRPr="004375A3">
              <w:rPr>
                <w:color w:val="000000"/>
                <w:sz w:val="18"/>
                <w:szCs w:val="18"/>
              </w:rPr>
              <w:t>№</w:t>
            </w:r>
          </w:p>
        </w:tc>
        <w:tc>
          <w:tcPr>
            <w:tcW w:w="943"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B4AAA7D" w14:textId="77777777" w:rsidR="004375A3" w:rsidRPr="004375A3" w:rsidRDefault="004375A3" w:rsidP="004375A3">
            <w:pPr>
              <w:ind w:firstLine="0"/>
              <w:jc w:val="center"/>
              <w:rPr>
                <w:color w:val="000000"/>
                <w:sz w:val="18"/>
                <w:szCs w:val="18"/>
              </w:rPr>
            </w:pPr>
            <w:r w:rsidRPr="004375A3">
              <w:rPr>
                <w:color w:val="000000"/>
                <w:sz w:val="18"/>
                <w:szCs w:val="18"/>
              </w:rPr>
              <w:t>Наименование товара, работы, услуги</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A7B4736" w14:textId="77777777" w:rsidR="004375A3" w:rsidRPr="004375A3" w:rsidRDefault="004375A3" w:rsidP="004375A3">
            <w:pPr>
              <w:ind w:firstLine="0"/>
              <w:jc w:val="center"/>
              <w:rPr>
                <w:color w:val="000000"/>
                <w:sz w:val="18"/>
                <w:szCs w:val="18"/>
              </w:rPr>
            </w:pPr>
            <w:r w:rsidRPr="004375A3">
              <w:rPr>
                <w:color w:val="000000"/>
                <w:sz w:val="18"/>
                <w:szCs w:val="18"/>
              </w:rPr>
              <w:t>Единица измерения</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667DF9A" w14:textId="77777777" w:rsidR="004375A3" w:rsidRPr="004375A3" w:rsidRDefault="004375A3" w:rsidP="004375A3">
            <w:pPr>
              <w:ind w:firstLine="0"/>
              <w:jc w:val="center"/>
              <w:rPr>
                <w:color w:val="000000"/>
                <w:sz w:val="18"/>
                <w:szCs w:val="18"/>
              </w:rPr>
            </w:pPr>
            <w:r w:rsidRPr="004375A3">
              <w:rPr>
                <w:color w:val="000000"/>
                <w:sz w:val="18"/>
                <w:szCs w:val="18"/>
              </w:rPr>
              <w:t>Количество</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9F9C986" w14:textId="77777777" w:rsidR="004375A3" w:rsidRPr="004375A3" w:rsidRDefault="004375A3" w:rsidP="004375A3">
            <w:pPr>
              <w:ind w:firstLine="0"/>
              <w:jc w:val="center"/>
              <w:rPr>
                <w:color w:val="000000"/>
                <w:sz w:val="18"/>
                <w:szCs w:val="18"/>
              </w:rPr>
            </w:pPr>
            <w:r w:rsidRPr="004375A3">
              <w:rPr>
                <w:color w:val="000000"/>
                <w:sz w:val="18"/>
                <w:szCs w:val="18"/>
              </w:rPr>
              <w:t>Количество источников ценовой информации</w:t>
            </w:r>
          </w:p>
        </w:tc>
        <w:tc>
          <w:tcPr>
            <w:tcW w:w="1101" w:type="pct"/>
            <w:gridSpan w:val="3"/>
            <w:tcBorders>
              <w:top w:val="single" w:sz="4" w:space="0" w:color="000000"/>
              <w:left w:val="nil"/>
              <w:bottom w:val="single" w:sz="4" w:space="0" w:color="000000"/>
              <w:right w:val="single" w:sz="4" w:space="0" w:color="000000"/>
            </w:tcBorders>
            <w:shd w:val="clear" w:color="000000" w:fill="E4E4E4"/>
            <w:vAlign w:val="center"/>
            <w:hideMark/>
          </w:tcPr>
          <w:p w14:paraId="6EB4E475" w14:textId="77777777" w:rsidR="004375A3" w:rsidRPr="004375A3" w:rsidRDefault="004375A3" w:rsidP="004375A3">
            <w:pPr>
              <w:ind w:firstLine="0"/>
              <w:jc w:val="center"/>
              <w:rPr>
                <w:color w:val="000000"/>
                <w:sz w:val="18"/>
                <w:szCs w:val="18"/>
              </w:rPr>
            </w:pPr>
            <w:r w:rsidRPr="004375A3">
              <w:rPr>
                <w:color w:val="000000"/>
                <w:sz w:val="18"/>
                <w:szCs w:val="18"/>
              </w:rPr>
              <w:t>Цены поставщиков (исполнителей, подрядчиков) за единицу товара (работы, услуги), рублей</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CAD40FC" w14:textId="77777777" w:rsidR="004375A3" w:rsidRPr="004375A3" w:rsidRDefault="004375A3" w:rsidP="004375A3">
            <w:pPr>
              <w:ind w:firstLine="0"/>
              <w:jc w:val="center"/>
              <w:rPr>
                <w:color w:val="000000"/>
                <w:sz w:val="18"/>
                <w:szCs w:val="18"/>
              </w:rPr>
            </w:pPr>
            <w:r w:rsidRPr="004375A3">
              <w:rPr>
                <w:color w:val="000000"/>
                <w:sz w:val="18"/>
                <w:szCs w:val="18"/>
              </w:rPr>
              <w:t>Средняя цена за единицу ТРУ, руб.</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DA2CD5B" w14:textId="77777777" w:rsidR="004375A3" w:rsidRPr="004375A3" w:rsidRDefault="004375A3" w:rsidP="004375A3">
            <w:pPr>
              <w:ind w:firstLine="0"/>
              <w:jc w:val="center"/>
              <w:rPr>
                <w:color w:val="000000"/>
                <w:sz w:val="18"/>
                <w:szCs w:val="18"/>
              </w:rPr>
            </w:pPr>
            <w:r w:rsidRPr="004375A3">
              <w:rPr>
                <w:color w:val="000000"/>
                <w:sz w:val="18"/>
                <w:szCs w:val="18"/>
              </w:rPr>
              <w:t>Коэффициент вариации, %</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9ACCC50" w14:textId="77777777" w:rsidR="004375A3" w:rsidRPr="004375A3" w:rsidRDefault="004375A3" w:rsidP="004375A3">
            <w:pPr>
              <w:ind w:firstLine="0"/>
              <w:jc w:val="center"/>
              <w:rPr>
                <w:color w:val="000000"/>
                <w:sz w:val="18"/>
                <w:szCs w:val="18"/>
              </w:rPr>
            </w:pPr>
            <w:r w:rsidRPr="004375A3">
              <w:rPr>
                <w:color w:val="000000"/>
                <w:sz w:val="18"/>
                <w:szCs w:val="18"/>
              </w:rPr>
              <w:t>Цена за единицу ТРУ минимального ценового предложения, руб.</w:t>
            </w:r>
          </w:p>
        </w:tc>
        <w:tc>
          <w:tcPr>
            <w:tcW w:w="45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526F201" w14:textId="77777777" w:rsidR="004375A3" w:rsidRPr="004375A3" w:rsidRDefault="004375A3" w:rsidP="004375A3">
            <w:pPr>
              <w:ind w:firstLine="0"/>
              <w:jc w:val="center"/>
              <w:rPr>
                <w:color w:val="000000"/>
                <w:sz w:val="18"/>
                <w:szCs w:val="18"/>
              </w:rPr>
            </w:pPr>
            <w:r w:rsidRPr="004375A3">
              <w:rPr>
                <w:color w:val="000000"/>
                <w:sz w:val="18"/>
                <w:szCs w:val="18"/>
              </w:rPr>
              <w:t>Начальная (максимальная) цена, руб. с НДС</w:t>
            </w:r>
          </w:p>
        </w:tc>
      </w:tr>
      <w:tr w:rsidR="004375A3" w:rsidRPr="004375A3" w14:paraId="7BB3D1D9" w14:textId="77777777" w:rsidTr="004375A3">
        <w:trPr>
          <w:gridAfter w:val="1"/>
          <w:wAfter w:w="6" w:type="pct"/>
          <w:trHeight w:val="619"/>
        </w:trPr>
        <w:tc>
          <w:tcPr>
            <w:tcW w:w="227" w:type="pct"/>
            <w:vMerge/>
            <w:tcBorders>
              <w:top w:val="single" w:sz="4" w:space="0" w:color="000000"/>
              <w:left w:val="single" w:sz="4" w:space="0" w:color="000000"/>
              <w:bottom w:val="single" w:sz="4" w:space="0" w:color="000000"/>
              <w:right w:val="single" w:sz="4" w:space="0" w:color="000000"/>
            </w:tcBorders>
            <w:vAlign w:val="center"/>
            <w:hideMark/>
          </w:tcPr>
          <w:p w14:paraId="64C9D88E" w14:textId="77777777" w:rsidR="004375A3" w:rsidRPr="004375A3" w:rsidRDefault="004375A3" w:rsidP="004375A3">
            <w:pPr>
              <w:ind w:firstLine="0"/>
              <w:jc w:val="left"/>
              <w:rPr>
                <w:color w:val="000000"/>
                <w:sz w:val="18"/>
                <w:szCs w:val="18"/>
              </w:rPr>
            </w:pPr>
          </w:p>
        </w:tc>
        <w:tc>
          <w:tcPr>
            <w:tcW w:w="943" w:type="pct"/>
            <w:vMerge/>
            <w:tcBorders>
              <w:top w:val="single" w:sz="4" w:space="0" w:color="000000"/>
              <w:left w:val="single" w:sz="4" w:space="0" w:color="000000"/>
              <w:bottom w:val="single" w:sz="4" w:space="0" w:color="000000"/>
              <w:right w:val="single" w:sz="4" w:space="0" w:color="000000"/>
            </w:tcBorders>
            <w:vAlign w:val="center"/>
            <w:hideMark/>
          </w:tcPr>
          <w:p w14:paraId="2E85AFAE" w14:textId="77777777" w:rsidR="004375A3" w:rsidRPr="004375A3" w:rsidRDefault="004375A3" w:rsidP="004375A3">
            <w:pPr>
              <w:ind w:firstLine="0"/>
              <w:jc w:val="left"/>
              <w:rPr>
                <w:color w:val="000000"/>
                <w:sz w:val="18"/>
                <w:szCs w:val="18"/>
              </w:rPr>
            </w:pPr>
          </w:p>
        </w:tc>
        <w:tc>
          <w:tcPr>
            <w:tcW w:w="333" w:type="pct"/>
            <w:vMerge/>
            <w:tcBorders>
              <w:top w:val="single" w:sz="4" w:space="0" w:color="000000"/>
              <w:left w:val="single" w:sz="4" w:space="0" w:color="000000"/>
              <w:bottom w:val="single" w:sz="4" w:space="0" w:color="000000"/>
              <w:right w:val="single" w:sz="4" w:space="0" w:color="000000"/>
            </w:tcBorders>
            <w:vAlign w:val="center"/>
            <w:hideMark/>
          </w:tcPr>
          <w:p w14:paraId="59B175DC" w14:textId="77777777" w:rsidR="004375A3" w:rsidRPr="004375A3" w:rsidRDefault="004375A3" w:rsidP="004375A3">
            <w:pPr>
              <w:ind w:firstLine="0"/>
              <w:jc w:val="left"/>
              <w:rPr>
                <w:color w:val="000000"/>
                <w:sz w:val="18"/>
                <w:szCs w:val="18"/>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80355FD" w14:textId="77777777" w:rsidR="004375A3" w:rsidRPr="004375A3" w:rsidRDefault="004375A3" w:rsidP="004375A3">
            <w:pPr>
              <w:ind w:firstLine="0"/>
              <w:jc w:val="left"/>
              <w:rPr>
                <w:color w:val="000000"/>
                <w:sz w:val="18"/>
                <w:szCs w:val="18"/>
              </w:rPr>
            </w:pPr>
          </w:p>
        </w:tc>
        <w:tc>
          <w:tcPr>
            <w:tcW w:w="385" w:type="pct"/>
            <w:vMerge/>
            <w:tcBorders>
              <w:top w:val="single" w:sz="4" w:space="0" w:color="000000"/>
              <w:left w:val="single" w:sz="4" w:space="0" w:color="000000"/>
              <w:bottom w:val="single" w:sz="4" w:space="0" w:color="000000"/>
              <w:right w:val="single" w:sz="4" w:space="0" w:color="000000"/>
            </w:tcBorders>
            <w:vAlign w:val="center"/>
            <w:hideMark/>
          </w:tcPr>
          <w:p w14:paraId="03066EF4" w14:textId="77777777" w:rsidR="004375A3" w:rsidRPr="004375A3" w:rsidRDefault="004375A3" w:rsidP="004375A3">
            <w:pPr>
              <w:ind w:firstLine="0"/>
              <w:jc w:val="left"/>
              <w:rPr>
                <w:color w:val="000000"/>
                <w:sz w:val="18"/>
                <w:szCs w:val="18"/>
              </w:rPr>
            </w:pPr>
          </w:p>
        </w:tc>
        <w:tc>
          <w:tcPr>
            <w:tcW w:w="383" w:type="pct"/>
            <w:tcBorders>
              <w:top w:val="nil"/>
              <w:left w:val="nil"/>
              <w:bottom w:val="single" w:sz="4" w:space="0" w:color="000000"/>
              <w:right w:val="single" w:sz="4" w:space="0" w:color="000000"/>
            </w:tcBorders>
            <w:shd w:val="clear" w:color="000000" w:fill="E4E4E4"/>
            <w:vAlign w:val="center"/>
            <w:hideMark/>
          </w:tcPr>
          <w:p w14:paraId="28DB4848" w14:textId="77777777" w:rsidR="004375A3" w:rsidRPr="004375A3" w:rsidRDefault="004375A3" w:rsidP="004375A3">
            <w:pPr>
              <w:ind w:firstLine="0"/>
              <w:jc w:val="center"/>
              <w:rPr>
                <w:color w:val="000000"/>
                <w:sz w:val="18"/>
                <w:szCs w:val="18"/>
              </w:rPr>
            </w:pPr>
            <w:r w:rsidRPr="004375A3">
              <w:rPr>
                <w:color w:val="000000"/>
                <w:sz w:val="18"/>
                <w:szCs w:val="18"/>
              </w:rPr>
              <w:t>Источник №1</w:t>
            </w:r>
          </w:p>
        </w:tc>
        <w:tc>
          <w:tcPr>
            <w:tcW w:w="368" w:type="pct"/>
            <w:tcBorders>
              <w:top w:val="nil"/>
              <w:left w:val="nil"/>
              <w:bottom w:val="single" w:sz="4" w:space="0" w:color="000000"/>
              <w:right w:val="single" w:sz="4" w:space="0" w:color="000000"/>
            </w:tcBorders>
            <w:shd w:val="clear" w:color="000000" w:fill="E4E4E4"/>
            <w:vAlign w:val="center"/>
            <w:hideMark/>
          </w:tcPr>
          <w:p w14:paraId="7F70AA20" w14:textId="77777777" w:rsidR="004375A3" w:rsidRPr="004375A3" w:rsidRDefault="004375A3" w:rsidP="004375A3">
            <w:pPr>
              <w:ind w:firstLine="0"/>
              <w:jc w:val="center"/>
              <w:rPr>
                <w:color w:val="000000"/>
                <w:sz w:val="18"/>
                <w:szCs w:val="18"/>
              </w:rPr>
            </w:pPr>
            <w:r w:rsidRPr="004375A3">
              <w:rPr>
                <w:color w:val="000000"/>
                <w:sz w:val="18"/>
                <w:szCs w:val="18"/>
              </w:rPr>
              <w:t>Источник №2</w:t>
            </w:r>
          </w:p>
        </w:tc>
        <w:tc>
          <w:tcPr>
            <w:tcW w:w="350" w:type="pct"/>
            <w:tcBorders>
              <w:top w:val="nil"/>
              <w:left w:val="nil"/>
              <w:bottom w:val="single" w:sz="4" w:space="0" w:color="000000"/>
              <w:right w:val="single" w:sz="4" w:space="0" w:color="000000"/>
            </w:tcBorders>
            <w:shd w:val="clear" w:color="000000" w:fill="E4E4E4"/>
            <w:vAlign w:val="center"/>
            <w:hideMark/>
          </w:tcPr>
          <w:p w14:paraId="203B98C5" w14:textId="77777777" w:rsidR="004375A3" w:rsidRPr="004375A3" w:rsidRDefault="004375A3" w:rsidP="004375A3">
            <w:pPr>
              <w:ind w:firstLine="0"/>
              <w:jc w:val="center"/>
              <w:rPr>
                <w:color w:val="000000"/>
                <w:sz w:val="18"/>
                <w:szCs w:val="18"/>
              </w:rPr>
            </w:pPr>
            <w:r w:rsidRPr="004375A3">
              <w:rPr>
                <w:color w:val="000000"/>
                <w:sz w:val="18"/>
                <w:szCs w:val="18"/>
              </w:rPr>
              <w:t>Источник №3</w:t>
            </w:r>
          </w:p>
        </w:tc>
        <w:tc>
          <w:tcPr>
            <w:tcW w:w="339" w:type="pct"/>
            <w:vMerge/>
            <w:tcBorders>
              <w:top w:val="single" w:sz="4" w:space="0" w:color="000000"/>
              <w:left w:val="single" w:sz="4" w:space="0" w:color="000000"/>
              <w:bottom w:val="single" w:sz="4" w:space="0" w:color="000000"/>
              <w:right w:val="single" w:sz="4" w:space="0" w:color="000000"/>
            </w:tcBorders>
            <w:vAlign w:val="center"/>
            <w:hideMark/>
          </w:tcPr>
          <w:p w14:paraId="29607CE2" w14:textId="77777777" w:rsidR="004375A3" w:rsidRPr="004375A3" w:rsidRDefault="004375A3" w:rsidP="004375A3">
            <w:pPr>
              <w:ind w:firstLine="0"/>
              <w:jc w:val="left"/>
              <w:rPr>
                <w:color w:val="000000"/>
                <w:sz w:val="18"/>
                <w:szCs w:val="18"/>
              </w:rPr>
            </w:pPr>
          </w:p>
        </w:tc>
        <w:tc>
          <w:tcPr>
            <w:tcW w:w="415" w:type="pct"/>
            <w:vMerge/>
            <w:tcBorders>
              <w:top w:val="single" w:sz="4" w:space="0" w:color="000000"/>
              <w:left w:val="single" w:sz="4" w:space="0" w:color="000000"/>
              <w:bottom w:val="single" w:sz="4" w:space="0" w:color="000000"/>
              <w:right w:val="single" w:sz="4" w:space="0" w:color="000000"/>
            </w:tcBorders>
            <w:vAlign w:val="center"/>
            <w:hideMark/>
          </w:tcPr>
          <w:p w14:paraId="75A3B03B" w14:textId="77777777" w:rsidR="004375A3" w:rsidRPr="004375A3" w:rsidRDefault="004375A3" w:rsidP="004375A3">
            <w:pPr>
              <w:ind w:firstLine="0"/>
              <w:jc w:val="left"/>
              <w:rPr>
                <w:color w:val="000000"/>
                <w:sz w:val="18"/>
                <w:szCs w:val="18"/>
              </w:rPr>
            </w:pPr>
          </w:p>
        </w:tc>
        <w:tc>
          <w:tcPr>
            <w:tcW w:w="432" w:type="pct"/>
            <w:vMerge/>
            <w:tcBorders>
              <w:top w:val="single" w:sz="4" w:space="0" w:color="000000"/>
              <w:left w:val="single" w:sz="4" w:space="0" w:color="000000"/>
              <w:bottom w:val="single" w:sz="4" w:space="0" w:color="000000"/>
              <w:right w:val="single" w:sz="4" w:space="0" w:color="000000"/>
            </w:tcBorders>
            <w:vAlign w:val="center"/>
            <w:hideMark/>
          </w:tcPr>
          <w:p w14:paraId="23ACC83D" w14:textId="77777777" w:rsidR="004375A3" w:rsidRPr="004375A3" w:rsidRDefault="004375A3" w:rsidP="004375A3">
            <w:pPr>
              <w:ind w:firstLine="0"/>
              <w:jc w:val="left"/>
              <w:rPr>
                <w:color w:val="000000"/>
                <w:sz w:val="18"/>
                <w:szCs w:val="18"/>
              </w:rPr>
            </w:pPr>
          </w:p>
        </w:tc>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368A88EE" w14:textId="77777777" w:rsidR="004375A3" w:rsidRPr="004375A3" w:rsidRDefault="004375A3" w:rsidP="004375A3">
            <w:pPr>
              <w:ind w:firstLine="0"/>
              <w:jc w:val="left"/>
              <w:rPr>
                <w:color w:val="000000"/>
                <w:sz w:val="18"/>
                <w:szCs w:val="18"/>
              </w:rPr>
            </w:pPr>
          </w:p>
        </w:tc>
      </w:tr>
      <w:tr w:rsidR="004375A3" w:rsidRPr="004375A3" w14:paraId="3C168661" w14:textId="77777777" w:rsidTr="004375A3">
        <w:trPr>
          <w:gridAfter w:val="1"/>
          <w:wAfter w:w="6" w:type="pct"/>
          <w:trHeight w:val="1020"/>
        </w:trPr>
        <w:tc>
          <w:tcPr>
            <w:tcW w:w="227" w:type="pct"/>
            <w:tcBorders>
              <w:top w:val="nil"/>
              <w:left w:val="single" w:sz="4" w:space="0" w:color="000000"/>
              <w:bottom w:val="single" w:sz="4" w:space="0" w:color="000000"/>
              <w:right w:val="single" w:sz="4" w:space="0" w:color="000000"/>
            </w:tcBorders>
            <w:shd w:val="clear" w:color="auto" w:fill="auto"/>
            <w:noWrap/>
            <w:vAlign w:val="center"/>
            <w:hideMark/>
          </w:tcPr>
          <w:p w14:paraId="3C86654C" w14:textId="77777777" w:rsidR="004375A3" w:rsidRPr="004375A3" w:rsidRDefault="004375A3" w:rsidP="004375A3">
            <w:pPr>
              <w:ind w:firstLine="0"/>
              <w:jc w:val="left"/>
              <w:rPr>
                <w:color w:val="000000"/>
                <w:sz w:val="20"/>
                <w:szCs w:val="20"/>
              </w:rPr>
            </w:pPr>
            <w:r w:rsidRPr="004375A3">
              <w:rPr>
                <w:color w:val="000000"/>
                <w:sz w:val="20"/>
                <w:szCs w:val="20"/>
              </w:rPr>
              <w:t>1</w:t>
            </w:r>
          </w:p>
        </w:tc>
        <w:tc>
          <w:tcPr>
            <w:tcW w:w="943" w:type="pct"/>
            <w:tcBorders>
              <w:top w:val="nil"/>
              <w:left w:val="nil"/>
              <w:bottom w:val="single" w:sz="4" w:space="0" w:color="000000"/>
              <w:right w:val="single" w:sz="4" w:space="0" w:color="000000"/>
            </w:tcBorders>
            <w:shd w:val="clear" w:color="auto" w:fill="auto"/>
            <w:vAlign w:val="center"/>
            <w:hideMark/>
          </w:tcPr>
          <w:p w14:paraId="0AE8EB01" w14:textId="77777777" w:rsidR="004375A3" w:rsidRPr="004375A3" w:rsidRDefault="004375A3" w:rsidP="004375A3">
            <w:pPr>
              <w:ind w:firstLine="0"/>
              <w:jc w:val="left"/>
              <w:rPr>
                <w:color w:val="000000"/>
                <w:sz w:val="20"/>
                <w:szCs w:val="20"/>
              </w:rPr>
            </w:pPr>
            <w:r w:rsidRPr="004375A3">
              <w:rPr>
                <w:color w:val="000000"/>
                <w:sz w:val="20"/>
                <w:szCs w:val="20"/>
              </w:rPr>
              <w:t>Перевозка почтовых отправлений и прочих товарно-материальных ценностей автотранспортом по магистральному маршруту «Ульяновск-Казань-Ульяновск»</w:t>
            </w:r>
          </w:p>
        </w:tc>
        <w:tc>
          <w:tcPr>
            <w:tcW w:w="333" w:type="pct"/>
            <w:tcBorders>
              <w:top w:val="nil"/>
              <w:left w:val="nil"/>
              <w:bottom w:val="single" w:sz="4" w:space="0" w:color="000000"/>
              <w:right w:val="single" w:sz="4" w:space="0" w:color="000000"/>
            </w:tcBorders>
            <w:shd w:val="clear" w:color="auto" w:fill="auto"/>
            <w:vAlign w:val="center"/>
            <w:hideMark/>
          </w:tcPr>
          <w:p w14:paraId="248C4966" w14:textId="77777777" w:rsidR="004375A3" w:rsidRPr="004375A3" w:rsidRDefault="004375A3" w:rsidP="004375A3">
            <w:pPr>
              <w:ind w:firstLine="0"/>
              <w:jc w:val="left"/>
              <w:rPr>
                <w:color w:val="000000"/>
                <w:sz w:val="20"/>
                <w:szCs w:val="20"/>
              </w:rPr>
            </w:pPr>
            <w:r w:rsidRPr="004375A3">
              <w:rPr>
                <w:color w:val="000000"/>
                <w:sz w:val="20"/>
                <w:szCs w:val="20"/>
              </w:rPr>
              <w:t>Условная единица</w:t>
            </w:r>
          </w:p>
        </w:tc>
        <w:tc>
          <w:tcPr>
            <w:tcW w:w="362" w:type="pct"/>
            <w:tcBorders>
              <w:top w:val="nil"/>
              <w:left w:val="nil"/>
              <w:bottom w:val="single" w:sz="4" w:space="0" w:color="000000"/>
              <w:right w:val="single" w:sz="4" w:space="0" w:color="000000"/>
            </w:tcBorders>
            <w:shd w:val="clear" w:color="auto" w:fill="auto"/>
            <w:vAlign w:val="center"/>
            <w:hideMark/>
          </w:tcPr>
          <w:p w14:paraId="34E8A533" w14:textId="77777777" w:rsidR="004375A3" w:rsidRPr="004375A3" w:rsidRDefault="004375A3" w:rsidP="004375A3">
            <w:pPr>
              <w:ind w:firstLine="0"/>
              <w:jc w:val="right"/>
              <w:rPr>
                <w:color w:val="000000"/>
                <w:sz w:val="20"/>
                <w:szCs w:val="20"/>
              </w:rPr>
            </w:pPr>
            <w:r w:rsidRPr="004375A3">
              <w:rPr>
                <w:color w:val="000000"/>
                <w:sz w:val="20"/>
                <w:szCs w:val="20"/>
              </w:rPr>
              <w:t>1,00000</w:t>
            </w:r>
          </w:p>
        </w:tc>
        <w:tc>
          <w:tcPr>
            <w:tcW w:w="385" w:type="pct"/>
            <w:tcBorders>
              <w:top w:val="nil"/>
              <w:left w:val="nil"/>
              <w:bottom w:val="single" w:sz="4" w:space="0" w:color="000000"/>
              <w:right w:val="single" w:sz="4" w:space="0" w:color="000000"/>
            </w:tcBorders>
            <w:shd w:val="clear" w:color="auto" w:fill="auto"/>
            <w:vAlign w:val="center"/>
            <w:hideMark/>
          </w:tcPr>
          <w:p w14:paraId="5C165285" w14:textId="77777777" w:rsidR="004375A3" w:rsidRPr="004375A3" w:rsidRDefault="004375A3" w:rsidP="004375A3">
            <w:pPr>
              <w:ind w:firstLine="0"/>
              <w:jc w:val="center"/>
              <w:rPr>
                <w:color w:val="000000"/>
                <w:sz w:val="20"/>
                <w:szCs w:val="20"/>
              </w:rPr>
            </w:pPr>
            <w:r w:rsidRPr="004375A3">
              <w:rPr>
                <w:color w:val="000000"/>
                <w:sz w:val="20"/>
                <w:szCs w:val="20"/>
              </w:rPr>
              <w:t>3</w:t>
            </w:r>
          </w:p>
        </w:tc>
        <w:tc>
          <w:tcPr>
            <w:tcW w:w="383" w:type="pct"/>
            <w:tcBorders>
              <w:top w:val="nil"/>
              <w:left w:val="nil"/>
              <w:bottom w:val="single" w:sz="4" w:space="0" w:color="000000"/>
              <w:right w:val="single" w:sz="4" w:space="0" w:color="000000"/>
            </w:tcBorders>
            <w:shd w:val="clear" w:color="auto" w:fill="auto"/>
            <w:vAlign w:val="center"/>
            <w:hideMark/>
          </w:tcPr>
          <w:p w14:paraId="5F688C9C" w14:textId="77777777" w:rsidR="004375A3" w:rsidRPr="004375A3" w:rsidRDefault="004375A3" w:rsidP="004375A3">
            <w:pPr>
              <w:ind w:firstLine="0"/>
              <w:jc w:val="center"/>
              <w:rPr>
                <w:color w:val="000000"/>
                <w:sz w:val="20"/>
                <w:szCs w:val="20"/>
              </w:rPr>
            </w:pPr>
            <w:r w:rsidRPr="004375A3">
              <w:rPr>
                <w:color w:val="000000"/>
                <w:sz w:val="20"/>
                <w:szCs w:val="20"/>
              </w:rPr>
              <w:t>87 000,00</w:t>
            </w:r>
          </w:p>
        </w:tc>
        <w:tc>
          <w:tcPr>
            <w:tcW w:w="368" w:type="pct"/>
            <w:tcBorders>
              <w:top w:val="nil"/>
              <w:left w:val="nil"/>
              <w:bottom w:val="single" w:sz="4" w:space="0" w:color="000000"/>
              <w:right w:val="single" w:sz="4" w:space="0" w:color="000000"/>
            </w:tcBorders>
            <w:shd w:val="clear" w:color="auto" w:fill="auto"/>
            <w:vAlign w:val="center"/>
            <w:hideMark/>
          </w:tcPr>
          <w:p w14:paraId="48E723C6" w14:textId="77777777" w:rsidR="004375A3" w:rsidRPr="004375A3" w:rsidRDefault="004375A3" w:rsidP="004375A3">
            <w:pPr>
              <w:ind w:firstLine="0"/>
              <w:jc w:val="center"/>
              <w:rPr>
                <w:color w:val="000000"/>
                <w:sz w:val="20"/>
                <w:szCs w:val="20"/>
              </w:rPr>
            </w:pPr>
            <w:r w:rsidRPr="004375A3">
              <w:rPr>
                <w:color w:val="000000"/>
                <w:sz w:val="20"/>
                <w:szCs w:val="20"/>
              </w:rPr>
              <w:t>70 000,00</w:t>
            </w:r>
          </w:p>
        </w:tc>
        <w:tc>
          <w:tcPr>
            <w:tcW w:w="350" w:type="pct"/>
            <w:tcBorders>
              <w:top w:val="nil"/>
              <w:left w:val="nil"/>
              <w:bottom w:val="single" w:sz="4" w:space="0" w:color="000000"/>
              <w:right w:val="single" w:sz="4" w:space="0" w:color="000000"/>
            </w:tcBorders>
            <w:shd w:val="clear" w:color="auto" w:fill="auto"/>
            <w:vAlign w:val="center"/>
            <w:hideMark/>
          </w:tcPr>
          <w:p w14:paraId="66543A5E" w14:textId="77777777" w:rsidR="004375A3" w:rsidRPr="004375A3" w:rsidRDefault="004375A3" w:rsidP="004375A3">
            <w:pPr>
              <w:ind w:firstLine="0"/>
              <w:jc w:val="center"/>
              <w:rPr>
                <w:color w:val="000000"/>
                <w:sz w:val="20"/>
                <w:szCs w:val="20"/>
              </w:rPr>
            </w:pPr>
            <w:r w:rsidRPr="004375A3">
              <w:rPr>
                <w:color w:val="000000"/>
                <w:sz w:val="20"/>
                <w:szCs w:val="20"/>
              </w:rPr>
              <w:t>80 000,00</w:t>
            </w:r>
          </w:p>
        </w:tc>
        <w:tc>
          <w:tcPr>
            <w:tcW w:w="339" w:type="pct"/>
            <w:tcBorders>
              <w:top w:val="nil"/>
              <w:left w:val="nil"/>
              <w:bottom w:val="single" w:sz="4" w:space="0" w:color="000000"/>
              <w:right w:val="single" w:sz="4" w:space="0" w:color="000000"/>
            </w:tcBorders>
            <w:shd w:val="clear" w:color="auto" w:fill="auto"/>
            <w:vAlign w:val="center"/>
            <w:hideMark/>
          </w:tcPr>
          <w:p w14:paraId="48502760" w14:textId="77777777" w:rsidR="004375A3" w:rsidRPr="004375A3" w:rsidRDefault="004375A3" w:rsidP="004375A3">
            <w:pPr>
              <w:ind w:firstLine="0"/>
              <w:jc w:val="right"/>
              <w:rPr>
                <w:color w:val="000000"/>
                <w:sz w:val="20"/>
                <w:szCs w:val="20"/>
              </w:rPr>
            </w:pPr>
            <w:r w:rsidRPr="004375A3">
              <w:rPr>
                <w:color w:val="000000"/>
                <w:sz w:val="20"/>
                <w:szCs w:val="20"/>
              </w:rPr>
              <w:t>79 000,00</w:t>
            </w:r>
          </w:p>
        </w:tc>
        <w:tc>
          <w:tcPr>
            <w:tcW w:w="415" w:type="pct"/>
            <w:tcBorders>
              <w:top w:val="nil"/>
              <w:left w:val="nil"/>
              <w:bottom w:val="single" w:sz="4" w:space="0" w:color="000000"/>
              <w:right w:val="single" w:sz="4" w:space="0" w:color="000000"/>
            </w:tcBorders>
            <w:shd w:val="clear" w:color="auto" w:fill="auto"/>
            <w:vAlign w:val="center"/>
            <w:hideMark/>
          </w:tcPr>
          <w:p w14:paraId="4603780C" w14:textId="77777777" w:rsidR="004375A3" w:rsidRPr="004375A3" w:rsidRDefault="004375A3" w:rsidP="004375A3">
            <w:pPr>
              <w:ind w:firstLine="0"/>
              <w:jc w:val="right"/>
              <w:rPr>
                <w:color w:val="000000"/>
                <w:sz w:val="20"/>
                <w:szCs w:val="20"/>
              </w:rPr>
            </w:pPr>
            <w:r w:rsidRPr="004375A3">
              <w:rPr>
                <w:color w:val="000000"/>
                <w:sz w:val="20"/>
                <w:szCs w:val="20"/>
              </w:rPr>
              <w:t>10,82%</w:t>
            </w:r>
          </w:p>
        </w:tc>
        <w:tc>
          <w:tcPr>
            <w:tcW w:w="432" w:type="pct"/>
            <w:tcBorders>
              <w:top w:val="nil"/>
              <w:left w:val="nil"/>
              <w:bottom w:val="single" w:sz="4" w:space="0" w:color="000000"/>
              <w:right w:val="single" w:sz="4" w:space="0" w:color="000000"/>
            </w:tcBorders>
            <w:shd w:val="clear" w:color="auto" w:fill="auto"/>
            <w:vAlign w:val="center"/>
            <w:hideMark/>
          </w:tcPr>
          <w:p w14:paraId="0E214CF6" w14:textId="77777777" w:rsidR="004375A3" w:rsidRPr="004375A3" w:rsidRDefault="004375A3" w:rsidP="004375A3">
            <w:pPr>
              <w:ind w:firstLine="0"/>
              <w:jc w:val="right"/>
              <w:rPr>
                <w:color w:val="000000"/>
                <w:sz w:val="20"/>
                <w:szCs w:val="20"/>
              </w:rPr>
            </w:pPr>
            <w:r w:rsidRPr="004375A3">
              <w:rPr>
                <w:color w:val="000000"/>
                <w:sz w:val="20"/>
                <w:szCs w:val="20"/>
              </w:rPr>
              <w:t>70 000,00</w:t>
            </w:r>
          </w:p>
        </w:tc>
        <w:tc>
          <w:tcPr>
            <w:tcW w:w="459" w:type="pct"/>
            <w:tcBorders>
              <w:top w:val="nil"/>
              <w:left w:val="nil"/>
              <w:bottom w:val="single" w:sz="4" w:space="0" w:color="000000"/>
              <w:right w:val="single" w:sz="4" w:space="0" w:color="000000"/>
            </w:tcBorders>
            <w:shd w:val="clear" w:color="auto" w:fill="auto"/>
            <w:vAlign w:val="center"/>
            <w:hideMark/>
          </w:tcPr>
          <w:p w14:paraId="2E9242B9" w14:textId="77777777" w:rsidR="004375A3" w:rsidRPr="004375A3" w:rsidRDefault="004375A3" w:rsidP="004375A3">
            <w:pPr>
              <w:ind w:firstLine="0"/>
              <w:jc w:val="right"/>
              <w:rPr>
                <w:color w:val="000000"/>
                <w:sz w:val="20"/>
                <w:szCs w:val="20"/>
              </w:rPr>
            </w:pPr>
            <w:r w:rsidRPr="004375A3">
              <w:rPr>
                <w:color w:val="000000"/>
                <w:sz w:val="20"/>
                <w:szCs w:val="20"/>
              </w:rPr>
              <w:t>70 000,00</w:t>
            </w:r>
          </w:p>
        </w:tc>
      </w:tr>
      <w:tr w:rsidR="004375A3" w:rsidRPr="004375A3" w14:paraId="4CD4C97E" w14:textId="77777777" w:rsidTr="004375A3">
        <w:trPr>
          <w:gridAfter w:val="1"/>
          <w:wAfter w:w="6" w:type="pct"/>
          <w:trHeight w:val="300"/>
        </w:trPr>
        <w:tc>
          <w:tcPr>
            <w:tcW w:w="227" w:type="pct"/>
            <w:tcBorders>
              <w:top w:val="nil"/>
              <w:left w:val="single" w:sz="4" w:space="0" w:color="000000"/>
              <w:bottom w:val="single" w:sz="4" w:space="0" w:color="000000"/>
              <w:right w:val="single" w:sz="4" w:space="0" w:color="000000"/>
            </w:tcBorders>
            <w:shd w:val="clear" w:color="auto" w:fill="auto"/>
            <w:vAlign w:val="center"/>
            <w:hideMark/>
          </w:tcPr>
          <w:p w14:paraId="472E028B"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943" w:type="pct"/>
            <w:tcBorders>
              <w:top w:val="nil"/>
              <w:left w:val="nil"/>
              <w:bottom w:val="single" w:sz="4" w:space="0" w:color="000000"/>
              <w:right w:val="single" w:sz="4" w:space="0" w:color="000000"/>
            </w:tcBorders>
            <w:shd w:val="clear" w:color="auto" w:fill="auto"/>
            <w:vAlign w:val="center"/>
            <w:hideMark/>
          </w:tcPr>
          <w:p w14:paraId="4B245707"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33" w:type="pct"/>
            <w:tcBorders>
              <w:top w:val="nil"/>
              <w:left w:val="nil"/>
              <w:bottom w:val="single" w:sz="4" w:space="0" w:color="000000"/>
              <w:right w:val="single" w:sz="4" w:space="0" w:color="000000"/>
            </w:tcBorders>
            <w:shd w:val="clear" w:color="auto" w:fill="auto"/>
            <w:vAlign w:val="center"/>
            <w:hideMark/>
          </w:tcPr>
          <w:p w14:paraId="4C2B7ACA"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62" w:type="pct"/>
            <w:tcBorders>
              <w:top w:val="nil"/>
              <w:left w:val="nil"/>
              <w:bottom w:val="single" w:sz="4" w:space="0" w:color="000000"/>
              <w:right w:val="single" w:sz="4" w:space="0" w:color="000000"/>
            </w:tcBorders>
            <w:shd w:val="clear" w:color="auto" w:fill="auto"/>
            <w:vAlign w:val="center"/>
            <w:hideMark/>
          </w:tcPr>
          <w:p w14:paraId="3B1269A8"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85" w:type="pct"/>
            <w:tcBorders>
              <w:top w:val="nil"/>
              <w:left w:val="nil"/>
              <w:bottom w:val="single" w:sz="4" w:space="0" w:color="000000"/>
              <w:right w:val="single" w:sz="4" w:space="0" w:color="000000"/>
            </w:tcBorders>
            <w:shd w:val="clear" w:color="auto" w:fill="auto"/>
            <w:vAlign w:val="center"/>
            <w:hideMark/>
          </w:tcPr>
          <w:p w14:paraId="4C6C1671"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83" w:type="pct"/>
            <w:tcBorders>
              <w:top w:val="nil"/>
              <w:left w:val="nil"/>
              <w:bottom w:val="single" w:sz="4" w:space="0" w:color="000000"/>
              <w:right w:val="single" w:sz="4" w:space="0" w:color="000000"/>
            </w:tcBorders>
            <w:shd w:val="clear" w:color="auto" w:fill="auto"/>
            <w:vAlign w:val="center"/>
            <w:hideMark/>
          </w:tcPr>
          <w:p w14:paraId="69A5C0AB" w14:textId="77777777" w:rsidR="004375A3" w:rsidRPr="004375A3" w:rsidRDefault="004375A3" w:rsidP="004375A3">
            <w:pPr>
              <w:ind w:firstLine="0"/>
              <w:jc w:val="center"/>
              <w:rPr>
                <w:b/>
                <w:bCs/>
                <w:color w:val="000000"/>
                <w:sz w:val="20"/>
                <w:szCs w:val="20"/>
              </w:rPr>
            </w:pPr>
            <w:r w:rsidRPr="004375A3">
              <w:rPr>
                <w:b/>
                <w:bCs/>
                <w:color w:val="000000"/>
                <w:sz w:val="20"/>
                <w:szCs w:val="20"/>
              </w:rPr>
              <w:t>87 000,00</w:t>
            </w:r>
          </w:p>
        </w:tc>
        <w:tc>
          <w:tcPr>
            <w:tcW w:w="368" w:type="pct"/>
            <w:tcBorders>
              <w:top w:val="nil"/>
              <w:left w:val="nil"/>
              <w:bottom w:val="single" w:sz="4" w:space="0" w:color="000000"/>
              <w:right w:val="single" w:sz="4" w:space="0" w:color="000000"/>
            </w:tcBorders>
            <w:shd w:val="clear" w:color="auto" w:fill="auto"/>
            <w:vAlign w:val="center"/>
            <w:hideMark/>
          </w:tcPr>
          <w:p w14:paraId="16DD553D" w14:textId="77777777" w:rsidR="004375A3" w:rsidRPr="004375A3" w:rsidRDefault="004375A3" w:rsidP="004375A3">
            <w:pPr>
              <w:ind w:firstLine="0"/>
              <w:jc w:val="center"/>
              <w:rPr>
                <w:b/>
                <w:bCs/>
                <w:color w:val="000000"/>
                <w:sz w:val="20"/>
                <w:szCs w:val="20"/>
              </w:rPr>
            </w:pPr>
            <w:r w:rsidRPr="004375A3">
              <w:rPr>
                <w:b/>
                <w:bCs/>
                <w:color w:val="000000"/>
                <w:sz w:val="20"/>
                <w:szCs w:val="20"/>
              </w:rPr>
              <w:t>70 000,00</w:t>
            </w:r>
          </w:p>
        </w:tc>
        <w:tc>
          <w:tcPr>
            <w:tcW w:w="350" w:type="pct"/>
            <w:tcBorders>
              <w:top w:val="nil"/>
              <w:left w:val="nil"/>
              <w:bottom w:val="single" w:sz="4" w:space="0" w:color="000000"/>
              <w:right w:val="single" w:sz="4" w:space="0" w:color="000000"/>
            </w:tcBorders>
            <w:shd w:val="clear" w:color="auto" w:fill="auto"/>
            <w:vAlign w:val="center"/>
            <w:hideMark/>
          </w:tcPr>
          <w:p w14:paraId="441BB4F7" w14:textId="77777777" w:rsidR="004375A3" w:rsidRPr="004375A3" w:rsidRDefault="004375A3" w:rsidP="004375A3">
            <w:pPr>
              <w:ind w:firstLine="0"/>
              <w:jc w:val="center"/>
              <w:rPr>
                <w:b/>
                <w:bCs/>
                <w:color w:val="000000"/>
                <w:sz w:val="20"/>
                <w:szCs w:val="20"/>
              </w:rPr>
            </w:pPr>
            <w:r w:rsidRPr="004375A3">
              <w:rPr>
                <w:b/>
                <w:bCs/>
                <w:color w:val="000000"/>
                <w:sz w:val="20"/>
                <w:szCs w:val="20"/>
              </w:rPr>
              <w:t>80 000,00</w:t>
            </w:r>
          </w:p>
        </w:tc>
        <w:tc>
          <w:tcPr>
            <w:tcW w:w="339" w:type="pct"/>
            <w:tcBorders>
              <w:top w:val="nil"/>
              <w:left w:val="nil"/>
              <w:bottom w:val="single" w:sz="4" w:space="0" w:color="000000"/>
              <w:right w:val="single" w:sz="4" w:space="0" w:color="000000"/>
            </w:tcBorders>
            <w:shd w:val="clear" w:color="auto" w:fill="auto"/>
            <w:vAlign w:val="center"/>
            <w:hideMark/>
          </w:tcPr>
          <w:p w14:paraId="75FA3D38"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15" w:type="pct"/>
            <w:tcBorders>
              <w:top w:val="nil"/>
              <w:left w:val="nil"/>
              <w:bottom w:val="single" w:sz="4" w:space="0" w:color="000000"/>
              <w:right w:val="single" w:sz="4" w:space="0" w:color="000000"/>
            </w:tcBorders>
            <w:shd w:val="clear" w:color="auto" w:fill="auto"/>
            <w:vAlign w:val="center"/>
            <w:hideMark/>
          </w:tcPr>
          <w:p w14:paraId="1C0B9737" w14:textId="77777777" w:rsidR="004375A3" w:rsidRPr="004375A3" w:rsidRDefault="004375A3" w:rsidP="004375A3">
            <w:pPr>
              <w:ind w:firstLine="0"/>
              <w:jc w:val="right"/>
              <w:rPr>
                <w:b/>
                <w:bCs/>
                <w:color w:val="000000"/>
                <w:sz w:val="20"/>
                <w:szCs w:val="20"/>
              </w:rPr>
            </w:pPr>
            <w:r w:rsidRPr="004375A3">
              <w:rPr>
                <w:b/>
                <w:bCs/>
                <w:color w:val="000000"/>
                <w:sz w:val="20"/>
                <w:szCs w:val="20"/>
              </w:rPr>
              <w:t>10,82%</w:t>
            </w:r>
          </w:p>
        </w:tc>
        <w:tc>
          <w:tcPr>
            <w:tcW w:w="432" w:type="pct"/>
            <w:tcBorders>
              <w:top w:val="nil"/>
              <w:left w:val="nil"/>
              <w:bottom w:val="single" w:sz="4" w:space="0" w:color="000000"/>
              <w:right w:val="single" w:sz="4" w:space="0" w:color="000000"/>
            </w:tcBorders>
            <w:shd w:val="clear" w:color="auto" w:fill="auto"/>
            <w:vAlign w:val="center"/>
            <w:hideMark/>
          </w:tcPr>
          <w:p w14:paraId="03B4D4DA"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59" w:type="pct"/>
            <w:tcBorders>
              <w:top w:val="nil"/>
              <w:left w:val="nil"/>
              <w:bottom w:val="single" w:sz="4" w:space="0" w:color="000000"/>
              <w:right w:val="single" w:sz="4" w:space="0" w:color="000000"/>
            </w:tcBorders>
            <w:shd w:val="clear" w:color="auto" w:fill="auto"/>
            <w:vAlign w:val="center"/>
            <w:hideMark/>
          </w:tcPr>
          <w:p w14:paraId="4B5667B1"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r>
      <w:tr w:rsidR="004375A3" w:rsidRPr="004375A3" w14:paraId="15EC2A2B" w14:textId="77777777" w:rsidTr="004375A3">
        <w:trPr>
          <w:gridAfter w:val="1"/>
          <w:wAfter w:w="6" w:type="pct"/>
          <w:trHeight w:val="259"/>
        </w:trPr>
        <w:tc>
          <w:tcPr>
            <w:tcW w:w="224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42B899" w14:textId="77777777" w:rsidR="004375A3" w:rsidRPr="004375A3" w:rsidRDefault="004375A3" w:rsidP="004375A3">
            <w:pPr>
              <w:ind w:firstLine="0"/>
              <w:jc w:val="right"/>
              <w:rPr>
                <w:b/>
                <w:bCs/>
                <w:color w:val="000000"/>
                <w:sz w:val="20"/>
                <w:szCs w:val="20"/>
              </w:rPr>
            </w:pPr>
            <w:r w:rsidRPr="004375A3">
              <w:rPr>
                <w:b/>
                <w:bCs/>
                <w:color w:val="000000"/>
                <w:sz w:val="20"/>
                <w:szCs w:val="20"/>
              </w:rPr>
              <w:t>НМЦ единицы ТРУ, руб. с НДС:</w:t>
            </w:r>
          </w:p>
        </w:tc>
        <w:tc>
          <w:tcPr>
            <w:tcW w:w="383" w:type="pct"/>
            <w:tcBorders>
              <w:top w:val="nil"/>
              <w:left w:val="nil"/>
              <w:bottom w:val="single" w:sz="4" w:space="0" w:color="000000"/>
              <w:right w:val="single" w:sz="4" w:space="0" w:color="000000"/>
            </w:tcBorders>
            <w:shd w:val="clear" w:color="auto" w:fill="auto"/>
            <w:vAlign w:val="center"/>
            <w:hideMark/>
          </w:tcPr>
          <w:p w14:paraId="0CB0868C"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68" w:type="pct"/>
            <w:tcBorders>
              <w:top w:val="nil"/>
              <w:left w:val="nil"/>
              <w:bottom w:val="single" w:sz="4" w:space="0" w:color="000000"/>
              <w:right w:val="single" w:sz="4" w:space="0" w:color="000000"/>
            </w:tcBorders>
            <w:shd w:val="clear" w:color="auto" w:fill="auto"/>
            <w:vAlign w:val="center"/>
            <w:hideMark/>
          </w:tcPr>
          <w:p w14:paraId="6B266ED7"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50" w:type="pct"/>
            <w:tcBorders>
              <w:top w:val="nil"/>
              <w:left w:val="nil"/>
              <w:bottom w:val="single" w:sz="4" w:space="0" w:color="000000"/>
              <w:right w:val="single" w:sz="4" w:space="0" w:color="000000"/>
            </w:tcBorders>
            <w:shd w:val="clear" w:color="auto" w:fill="auto"/>
            <w:vAlign w:val="center"/>
            <w:hideMark/>
          </w:tcPr>
          <w:p w14:paraId="3C7720F9"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39" w:type="pct"/>
            <w:tcBorders>
              <w:top w:val="nil"/>
              <w:left w:val="nil"/>
              <w:bottom w:val="single" w:sz="4" w:space="0" w:color="000000"/>
              <w:right w:val="single" w:sz="4" w:space="0" w:color="000000"/>
            </w:tcBorders>
            <w:shd w:val="clear" w:color="auto" w:fill="auto"/>
            <w:vAlign w:val="center"/>
            <w:hideMark/>
          </w:tcPr>
          <w:p w14:paraId="4138B577"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15" w:type="pct"/>
            <w:tcBorders>
              <w:top w:val="nil"/>
              <w:left w:val="nil"/>
              <w:bottom w:val="single" w:sz="4" w:space="0" w:color="000000"/>
              <w:right w:val="single" w:sz="4" w:space="0" w:color="000000"/>
            </w:tcBorders>
            <w:shd w:val="clear" w:color="auto" w:fill="auto"/>
            <w:vAlign w:val="center"/>
            <w:hideMark/>
          </w:tcPr>
          <w:p w14:paraId="37967B3C"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32" w:type="pct"/>
            <w:tcBorders>
              <w:top w:val="nil"/>
              <w:left w:val="nil"/>
              <w:bottom w:val="single" w:sz="4" w:space="0" w:color="000000"/>
              <w:right w:val="single" w:sz="4" w:space="0" w:color="000000"/>
            </w:tcBorders>
            <w:shd w:val="clear" w:color="auto" w:fill="auto"/>
            <w:vAlign w:val="center"/>
            <w:hideMark/>
          </w:tcPr>
          <w:p w14:paraId="230280F2" w14:textId="77777777" w:rsidR="004375A3" w:rsidRPr="004375A3" w:rsidRDefault="004375A3" w:rsidP="004375A3">
            <w:pPr>
              <w:ind w:firstLine="0"/>
              <w:jc w:val="right"/>
              <w:rPr>
                <w:b/>
                <w:bCs/>
                <w:color w:val="000000"/>
                <w:sz w:val="20"/>
                <w:szCs w:val="20"/>
              </w:rPr>
            </w:pPr>
            <w:r w:rsidRPr="004375A3">
              <w:rPr>
                <w:b/>
                <w:bCs/>
                <w:color w:val="000000"/>
                <w:sz w:val="20"/>
                <w:szCs w:val="20"/>
              </w:rPr>
              <w:t>70 000,00</w:t>
            </w:r>
          </w:p>
        </w:tc>
        <w:tc>
          <w:tcPr>
            <w:tcW w:w="459" w:type="pct"/>
            <w:tcBorders>
              <w:top w:val="nil"/>
              <w:left w:val="nil"/>
              <w:bottom w:val="single" w:sz="4" w:space="0" w:color="000000"/>
              <w:right w:val="single" w:sz="4" w:space="0" w:color="000000"/>
            </w:tcBorders>
            <w:shd w:val="clear" w:color="auto" w:fill="auto"/>
            <w:vAlign w:val="center"/>
            <w:hideMark/>
          </w:tcPr>
          <w:p w14:paraId="321976B7"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r>
      <w:tr w:rsidR="004375A3" w:rsidRPr="004375A3" w14:paraId="13FB0DCD" w14:textId="77777777" w:rsidTr="004375A3">
        <w:trPr>
          <w:gridAfter w:val="1"/>
          <w:wAfter w:w="6" w:type="pct"/>
          <w:trHeight w:val="259"/>
        </w:trPr>
        <w:tc>
          <w:tcPr>
            <w:tcW w:w="2249"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201A6560" w14:textId="77777777" w:rsidR="004375A3" w:rsidRPr="004375A3" w:rsidRDefault="004375A3" w:rsidP="004375A3">
            <w:pPr>
              <w:ind w:firstLine="0"/>
              <w:jc w:val="right"/>
              <w:rPr>
                <w:b/>
                <w:bCs/>
                <w:color w:val="000000"/>
                <w:sz w:val="20"/>
                <w:szCs w:val="20"/>
              </w:rPr>
            </w:pPr>
            <w:r w:rsidRPr="004375A3">
              <w:rPr>
                <w:b/>
                <w:bCs/>
                <w:color w:val="000000"/>
                <w:sz w:val="20"/>
                <w:szCs w:val="20"/>
              </w:rPr>
              <w:t>ИТОГО НМЦ, руб. с НДС:</w:t>
            </w:r>
          </w:p>
        </w:tc>
        <w:tc>
          <w:tcPr>
            <w:tcW w:w="383" w:type="pct"/>
            <w:tcBorders>
              <w:top w:val="nil"/>
              <w:left w:val="single" w:sz="4" w:space="0" w:color="000000"/>
              <w:bottom w:val="single" w:sz="4" w:space="0" w:color="000000"/>
              <w:right w:val="single" w:sz="4" w:space="0" w:color="000000"/>
            </w:tcBorders>
            <w:shd w:val="clear" w:color="auto" w:fill="auto"/>
            <w:vAlign w:val="center"/>
            <w:hideMark/>
          </w:tcPr>
          <w:p w14:paraId="2FAFDEBB"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68" w:type="pct"/>
            <w:tcBorders>
              <w:top w:val="nil"/>
              <w:left w:val="nil"/>
              <w:bottom w:val="single" w:sz="4" w:space="0" w:color="000000"/>
              <w:right w:val="single" w:sz="4" w:space="0" w:color="000000"/>
            </w:tcBorders>
            <w:shd w:val="clear" w:color="auto" w:fill="auto"/>
            <w:vAlign w:val="center"/>
            <w:hideMark/>
          </w:tcPr>
          <w:p w14:paraId="09007105"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50" w:type="pct"/>
            <w:tcBorders>
              <w:top w:val="nil"/>
              <w:left w:val="nil"/>
              <w:bottom w:val="single" w:sz="4" w:space="0" w:color="000000"/>
              <w:right w:val="single" w:sz="4" w:space="0" w:color="000000"/>
            </w:tcBorders>
            <w:shd w:val="clear" w:color="auto" w:fill="auto"/>
            <w:vAlign w:val="center"/>
            <w:hideMark/>
          </w:tcPr>
          <w:p w14:paraId="70FC926C"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339" w:type="pct"/>
            <w:tcBorders>
              <w:top w:val="nil"/>
              <w:left w:val="nil"/>
              <w:bottom w:val="single" w:sz="4" w:space="0" w:color="000000"/>
              <w:right w:val="single" w:sz="4" w:space="0" w:color="000000"/>
            </w:tcBorders>
            <w:shd w:val="clear" w:color="auto" w:fill="auto"/>
            <w:vAlign w:val="center"/>
            <w:hideMark/>
          </w:tcPr>
          <w:p w14:paraId="248A2FA0"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15" w:type="pct"/>
            <w:tcBorders>
              <w:top w:val="nil"/>
              <w:left w:val="nil"/>
              <w:bottom w:val="single" w:sz="4" w:space="0" w:color="000000"/>
              <w:right w:val="single" w:sz="4" w:space="0" w:color="000000"/>
            </w:tcBorders>
            <w:shd w:val="clear" w:color="auto" w:fill="auto"/>
            <w:vAlign w:val="center"/>
            <w:hideMark/>
          </w:tcPr>
          <w:p w14:paraId="6451C04D"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32" w:type="pct"/>
            <w:tcBorders>
              <w:top w:val="nil"/>
              <w:left w:val="nil"/>
              <w:bottom w:val="single" w:sz="4" w:space="0" w:color="000000"/>
              <w:right w:val="single" w:sz="4" w:space="0" w:color="000000"/>
            </w:tcBorders>
            <w:shd w:val="clear" w:color="auto" w:fill="auto"/>
            <w:vAlign w:val="center"/>
            <w:hideMark/>
          </w:tcPr>
          <w:p w14:paraId="2F4B2623" w14:textId="77777777" w:rsidR="004375A3" w:rsidRPr="004375A3" w:rsidRDefault="004375A3" w:rsidP="004375A3">
            <w:pPr>
              <w:ind w:firstLine="0"/>
              <w:jc w:val="right"/>
              <w:rPr>
                <w:b/>
                <w:bCs/>
                <w:color w:val="000000"/>
                <w:sz w:val="20"/>
                <w:szCs w:val="20"/>
              </w:rPr>
            </w:pPr>
            <w:r w:rsidRPr="004375A3">
              <w:rPr>
                <w:b/>
                <w:bCs/>
                <w:color w:val="000000"/>
                <w:sz w:val="20"/>
                <w:szCs w:val="20"/>
              </w:rPr>
              <w:t> </w:t>
            </w:r>
          </w:p>
        </w:tc>
        <w:tc>
          <w:tcPr>
            <w:tcW w:w="459" w:type="pct"/>
            <w:tcBorders>
              <w:top w:val="nil"/>
              <w:left w:val="nil"/>
              <w:bottom w:val="single" w:sz="4" w:space="0" w:color="000000"/>
              <w:right w:val="single" w:sz="4" w:space="0" w:color="000000"/>
            </w:tcBorders>
            <w:shd w:val="clear" w:color="auto" w:fill="auto"/>
            <w:vAlign w:val="center"/>
            <w:hideMark/>
          </w:tcPr>
          <w:p w14:paraId="7102D039" w14:textId="77777777" w:rsidR="004375A3" w:rsidRPr="004375A3" w:rsidRDefault="004375A3" w:rsidP="004375A3">
            <w:pPr>
              <w:ind w:firstLine="0"/>
              <w:jc w:val="right"/>
              <w:rPr>
                <w:b/>
                <w:bCs/>
                <w:color w:val="000000"/>
                <w:sz w:val="20"/>
                <w:szCs w:val="20"/>
              </w:rPr>
            </w:pPr>
            <w:r w:rsidRPr="004375A3">
              <w:rPr>
                <w:b/>
                <w:bCs/>
                <w:color w:val="000000"/>
                <w:sz w:val="20"/>
                <w:szCs w:val="20"/>
              </w:rPr>
              <w:t>70 000,00</w:t>
            </w:r>
          </w:p>
        </w:tc>
      </w:tr>
      <w:tr w:rsidR="004375A3" w:rsidRPr="004375A3" w14:paraId="13C00A1B" w14:textId="77777777" w:rsidTr="004375A3">
        <w:trPr>
          <w:gridAfter w:val="1"/>
          <w:wAfter w:w="6" w:type="pct"/>
          <w:trHeight w:val="222"/>
        </w:trPr>
        <w:tc>
          <w:tcPr>
            <w:tcW w:w="227" w:type="pct"/>
            <w:tcBorders>
              <w:top w:val="nil"/>
              <w:left w:val="nil"/>
              <w:bottom w:val="nil"/>
              <w:right w:val="nil"/>
            </w:tcBorders>
            <w:shd w:val="clear" w:color="auto" w:fill="auto"/>
            <w:noWrap/>
            <w:vAlign w:val="bottom"/>
            <w:hideMark/>
          </w:tcPr>
          <w:p w14:paraId="214D24F3" w14:textId="77777777" w:rsidR="004375A3" w:rsidRPr="004375A3" w:rsidRDefault="004375A3" w:rsidP="004375A3">
            <w:pPr>
              <w:ind w:firstLine="0"/>
              <w:jc w:val="right"/>
              <w:rPr>
                <w:b/>
                <w:bCs/>
                <w:color w:val="000000"/>
                <w:sz w:val="20"/>
                <w:szCs w:val="20"/>
              </w:rPr>
            </w:pPr>
          </w:p>
        </w:tc>
        <w:tc>
          <w:tcPr>
            <w:tcW w:w="943" w:type="pct"/>
            <w:tcBorders>
              <w:top w:val="nil"/>
              <w:left w:val="nil"/>
              <w:bottom w:val="nil"/>
              <w:right w:val="nil"/>
            </w:tcBorders>
            <w:shd w:val="clear" w:color="auto" w:fill="auto"/>
            <w:noWrap/>
            <w:vAlign w:val="bottom"/>
            <w:hideMark/>
          </w:tcPr>
          <w:p w14:paraId="278F4FF3" w14:textId="77777777" w:rsidR="004375A3" w:rsidRPr="004375A3" w:rsidRDefault="004375A3" w:rsidP="004375A3">
            <w:pPr>
              <w:ind w:firstLine="0"/>
              <w:jc w:val="left"/>
              <w:rPr>
                <w:sz w:val="20"/>
                <w:szCs w:val="20"/>
              </w:rPr>
            </w:pPr>
          </w:p>
        </w:tc>
        <w:tc>
          <w:tcPr>
            <w:tcW w:w="333" w:type="pct"/>
            <w:tcBorders>
              <w:top w:val="nil"/>
              <w:left w:val="nil"/>
              <w:bottom w:val="nil"/>
              <w:right w:val="nil"/>
            </w:tcBorders>
            <w:shd w:val="clear" w:color="auto" w:fill="auto"/>
            <w:noWrap/>
            <w:vAlign w:val="bottom"/>
            <w:hideMark/>
          </w:tcPr>
          <w:p w14:paraId="3FFAF6AB" w14:textId="77777777" w:rsidR="004375A3" w:rsidRPr="004375A3" w:rsidRDefault="004375A3" w:rsidP="004375A3">
            <w:pPr>
              <w:ind w:firstLine="0"/>
              <w:jc w:val="left"/>
              <w:rPr>
                <w:sz w:val="20"/>
                <w:szCs w:val="20"/>
              </w:rPr>
            </w:pPr>
          </w:p>
        </w:tc>
        <w:tc>
          <w:tcPr>
            <w:tcW w:w="362" w:type="pct"/>
            <w:tcBorders>
              <w:top w:val="nil"/>
              <w:left w:val="nil"/>
              <w:bottom w:val="nil"/>
              <w:right w:val="nil"/>
            </w:tcBorders>
            <w:shd w:val="clear" w:color="auto" w:fill="auto"/>
            <w:noWrap/>
            <w:vAlign w:val="bottom"/>
            <w:hideMark/>
          </w:tcPr>
          <w:p w14:paraId="19D5CC59" w14:textId="77777777" w:rsidR="004375A3" w:rsidRPr="004375A3" w:rsidRDefault="004375A3" w:rsidP="004375A3">
            <w:pPr>
              <w:ind w:firstLine="0"/>
              <w:jc w:val="left"/>
              <w:rPr>
                <w:sz w:val="20"/>
                <w:szCs w:val="20"/>
              </w:rPr>
            </w:pPr>
          </w:p>
        </w:tc>
        <w:tc>
          <w:tcPr>
            <w:tcW w:w="385" w:type="pct"/>
            <w:tcBorders>
              <w:top w:val="nil"/>
              <w:left w:val="nil"/>
              <w:bottom w:val="nil"/>
              <w:right w:val="nil"/>
            </w:tcBorders>
            <w:shd w:val="clear" w:color="auto" w:fill="auto"/>
            <w:noWrap/>
            <w:vAlign w:val="bottom"/>
            <w:hideMark/>
          </w:tcPr>
          <w:p w14:paraId="3A0D3E16" w14:textId="77777777" w:rsidR="004375A3" w:rsidRPr="004375A3" w:rsidRDefault="004375A3" w:rsidP="004375A3">
            <w:pPr>
              <w:ind w:firstLine="0"/>
              <w:jc w:val="left"/>
              <w:rPr>
                <w:sz w:val="20"/>
                <w:szCs w:val="20"/>
              </w:rPr>
            </w:pPr>
          </w:p>
        </w:tc>
        <w:tc>
          <w:tcPr>
            <w:tcW w:w="383" w:type="pct"/>
            <w:tcBorders>
              <w:top w:val="nil"/>
              <w:left w:val="nil"/>
              <w:bottom w:val="nil"/>
              <w:right w:val="nil"/>
            </w:tcBorders>
            <w:shd w:val="clear" w:color="auto" w:fill="auto"/>
            <w:noWrap/>
            <w:vAlign w:val="bottom"/>
            <w:hideMark/>
          </w:tcPr>
          <w:p w14:paraId="29139DF9" w14:textId="77777777" w:rsidR="004375A3" w:rsidRPr="004375A3" w:rsidRDefault="004375A3" w:rsidP="004375A3">
            <w:pPr>
              <w:ind w:firstLine="0"/>
              <w:jc w:val="left"/>
              <w:rPr>
                <w:sz w:val="20"/>
                <w:szCs w:val="20"/>
              </w:rPr>
            </w:pPr>
          </w:p>
        </w:tc>
        <w:tc>
          <w:tcPr>
            <w:tcW w:w="368" w:type="pct"/>
            <w:tcBorders>
              <w:top w:val="nil"/>
              <w:left w:val="nil"/>
              <w:bottom w:val="nil"/>
              <w:right w:val="nil"/>
            </w:tcBorders>
            <w:shd w:val="clear" w:color="auto" w:fill="auto"/>
            <w:noWrap/>
            <w:vAlign w:val="bottom"/>
            <w:hideMark/>
          </w:tcPr>
          <w:p w14:paraId="70A013F9" w14:textId="77777777" w:rsidR="004375A3" w:rsidRPr="004375A3" w:rsidRDefault="004375A3" w:rsidP="004375A3">
            <w:pPr>
              <w:ind w:firstLine="0"/>
              <w:jc w:val="left"/>
              <w:rPr>
                <w:sz w:val="20"/>
                <w:szCs w:val="20"/>
              </w:rPr>
            </w:pPr>
          </w:p>
        </w:tc>
        <w:tc>
          <w:tcPr>
            <w:tcW w:w="350" w:type="pct"/>
            <w:tcBorders>
              <w:top w:val="nil"/>
              <w:left w:val="nil"/>
              <w:bottom w:val="nil"/>
              <w:right w:val="nil"/>
            </w:tcBorders>
            <w:shd w:val="clear" w:color="auto" w:fill="auto"/>
            <w:noWrap/>
            <w:vAlign w:val="bottom"/>
            <w:hideMark/>
          </w:tcPr>
          <w:p w14:paraId="482B3257" w14:textId="77777777" w:rsidR="004375A3" w:rsidRPr="004375A3" w:rsidRDefault="004375A3" w:rsidP="004375A3">
            <w:pPr>
              <w:ind w:firstLine="0"/>
              <w:jc w:val="left"/>
              <w:rPr>
                <w:sz w:val="20"/>
                <w:szCs w:val="20"/>
              </w:rPr>
            </w:pPr>
          </w:p>
        </w:tc>
        <w:tc>
          <w:tcPr>
            <w:tcW w:w="339" w:type="pct"/>
            <w:tcBorders>
              <w:top w:val="nil"/>
              <w:left w:val="nil"/>
              <w:bottom w:val="nil"/>
              <w:right w:val="nil"/>
            </w:tcBorders>
            <w:shd w:val="clear" w:color="auto" w:fill="auto"/>
            <w:noWrap/>
            <w:vAlign w:val="bottom"/>
            <w:hideMark/>
          </w:tcPr>
          <w:p w14:paraId="3C370940"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266AA754"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64A21B81"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3A060379" w14:textId="77777777" w:rsidR="004375A3" w:rsidRPr="004375A3" w:rsidRDefault="004375A3" w:rsidP="004375A3">
            <w:pPr>
              <w:ind w:firstLine="0"/>
              <w:jc w:val="left"/>
              <w:rPr>
                <w:sz w:val="20"/>
                <w:szCs w:val="20"/>
              </w:rPr>
            </w:pPr>
          </w:p>
        </w:tc>
      </w:tr>
      <w:tr w:rsidR="004375A3" w:rsidRPr="004375A3" w14:paraId="1094C7D6" w14:textId="77777777" w:rsidTr="004375A3">
        <w:trPr>
          <w:gridAfter w:val="1"/>
          <w:wAfter w:w="6" w:type="pct"/>
          <w:trHeight w:val="222"/>
        </w:trPr>
        <w:tc>
          <w:tcPr>
            <w:tcW w:w="227" w:type="pct"/>
            <w:tcBorders>
              <w:top w:val="nil"/>
              <w:left w:val="nil"/>
              <w:bottom w:val="nil"/>
              <w:right w:val="nil"/>
            </w:tcBorders>
            <w:shd w:val="clear" w:color="auto" w:fill="auto"/>
            <w:noWrap/>
            <w:vAlign w:val="bottom"/>
            <w:hideMark/>
          </w:tcPr>
          <w:p w14:paraId="49507CC8" w14:textId="77777777" w:rsidR="004375A3" w:rsidRPr="004375A3" w:rsidRDefault="004375A3" w:rsidP="004375A3">
            <w:pPr>
              <w:ind w:firstLine="0"/>
              <w:jc w:val="left"/>
              <w:rPr>
                <w:sz w:val="20"/>
                <w:szCs w:val="20"/>
              </w:rPr>
            </w:pPr>
          </w:p>
        </w:tc>
        <w:tc>
          <w:tcPr>
            <w:tcW w:w="943" w:type="pct"/>
            <w:tcBorders>
              <w:top w:val="nil"/>
              <w:left w:val="nil"/>
              <w:bottom w:val="nil"/>
              <w:right w:val="nil"/>
            </w:tcBorders>
            <w:shd w:val="clear" w:color="auto" w:fill="auto"/>
            <w:noWrap/>
            <w:vAlign w:val="bottom"/>
            <w:hideMark/>
          </w:tcPr>
          <w:p w14:paraId="2FCFEFBB" w14:textId="77777777" w:rsidR="004375A3" w:rsidRPr="004375A3" w:rsidRDefault="004375A3" w:rsidP="004375A3">
            <w:pPr>
              <w:ind w:firstLine="0"/>
              <w:jc w:val="left"/>
              <w:rPr>
                <w:sz w:val="20"/>
                <w:szCs w:val="20"/>
              </w:rPr>
            </w:pPr>
          </w:p>
        </w:tc>
        <w:tc>
          <w:tcPr>
            <w:tcW w:w="333" w:type="pct"/>
            <w:tcBorders>
              <w:top w:val="nil"/>
              <w:left w:val="nil"/>
              <w:bottom w:val="nil"/>
              <w:right w:val="nil"/>
            </w:tcBorders>
            <w:shd w:val="clear" w:color="auto" w:fill="auto"/>
            <w:noWrap/>
            <w:vAlign w:val="bottom"/>
            <w:hideMark/>
          </w:tcPr>
          <w:p w14:paraId="572CA210" w14:textId="77777777" w:rsidR="004375A3" w:rsidRPr="004375A3" w:rsidRDefault="004375A3" w:rsidP="004375A3">
            <w:pPr>
              <w:ind w:firstLine="0"/>
              <w:jc w:val="left"/>
              <w:rPr>
                <w:sz w:val="20"/>
                <w:szCs w:val="20"/>
              </w:rPr>
            </w:pPr>
          </w:p>
        </w:tc>
        <w:tc>
          <w:tcPr>
            <w:tcW w:w="362" w:type="pct"/>
            <w:tcBorders>
              <w:top w:val="nil"/>
              <w:left w:val="nil"/>
              <w:bottom w:val="nil"/>
              <w:right w:val="nil"/>
            </w:tcBorders>
            <w:shd w:val="clear" w:color="auto" w:fill="auto"/>
            <w:noWrap/>
            <w:vAlign w:val="bottom"/>
            <w:hideMark/>
          </w:tcPr>
          <w:p w14:paraId="66522470" w14:textId="77777777" w:rsidR="004375A3" w:rsidRPr="004375A3" w:rsidRDefault="004375A3" w:rsidP="004375A3">
            <w:pPr>
              <w:ind w:firstLine="0"/>
              <w:jc w:val="left"/>
              <w:rPr>
                <w:sz w:val="20"/>
                <w:szCs w:val="20"/>
              </w:rPr>
            </w:pPr>
          </w:p>
        </w:tc>
        <w:tc>
          <w:tcPr>
            <w:tcW w:w="385" w:type="pct"/>
            <w:tcBorders>
              <w:top w:val="nil"/>
              <w:left w:val="nil"/>
              <w:bottom w:val="nil"/>
              <w:right w:val="nil"/>
            </w:tcBorders>
            <w:shd w:val="clear" w:color="auto" w:fill="auto"/>
            <w:noWrap/>
            <w:vAlign w:val="bottom"/>
            <w:hideMark/>
          </w:tcPr>
          <w:p w14:paraId="784CDAB7" w14:textId="77777777" w:rsidR="004375A3" w:rsidRPr="004375A3" w:rsidRDefault="004375A3" w:rsidP="004375A3">
            <w:pPr>
              <w:ind w:firstLine="0"/>
              <w:jc w:val="left"/>
              <w:rPr>
                <w:sz w:val="20"/>
                <w:szCs w:val="20"/>
              </w:rPr>
            </w:pPr>
          </w:p>
        </w:tc>
        <w:tc>
          <w:tcPr>
            <w:tcW w:w="383" w:type="pct"/>
            <w:tcBorders>
              <w:top w:val="nil"/>
              <w:left w:val="nil"/>
              <w:bottom w:val="nil"/>
              <w:right w:val="nil"/>
            </w:tcBorders>
            <w:shd w:val="clear" w:color="auto" w:fill="auto"/>
            <w:noWrap/>
            <w:vAlign w:val="bottom"/>
            <w:hideMark/>
          </w:tcPr>
          <w:p w14:paraId="376F8C40" w14:textId="77777777" w:rsidR="004375A3" w:rsidRPr="004375A3" w:rsidRDefault="004375A3" w:rsidP="004375A3">
            <w:pPr>
              <w:ind w:firstLine="0"/>
              <w:jc w:val="left"/>
              <w:rPr>
                <w:sz w:val="20"/>
                <w:szCs w:val="20"/>
              </w:rPr>
            </w:pPr>
          </w:p>
        </w:tc>
        <w:tc>
          <w:tcPr>
            <w:tcW w:w="368" w:type="pct"/>
            <w:tcBorders>
              <w:top w:val="nil"/>
              <w:left w:val="nil"/>
              <w:bottom w:val="nil"/>
              <w:right w:val="nil"/>
            </w:tcBorders>
            <w:shd w:val="clear" w:color="auto" w:fill="auto"/>
            <w:noWrap/>
            <w:vAlign w:val="bottom"/>
            <w:hideMark/>
          </w:tcPr>
          <w:p w14:paraId="4D645122" w14:textId="77777777" w:rsidR="004375A3" w:rsidRPr="004375A3" w:rsidRDefault="004375A3" w:rsidP="004375A3">
            <w:pPr>
              <w:ind w:firstLine="0"/>
              <w:jc w:val="left"/>
              <w:rPr>
                <w:sz w:val="20"/>
                <w:szCs w:val="20"/>
              </w:rPr>
            </w:pPr>
          </w:p>
        </w:tc>
        <w:tc>
          <w:tcPr>
            <w:tcW w:w="350" w:type="pct"/>
            <w:tcBorders>
              <w:top w:val="nil"/>
              <w:left w:val="nil"/>
              <w:bottom w:val="nil"/>
              <w:right w:val="nil"/>
            </w:tcBorders>
            <w:shd w:val="clear" w:color="auto" w:fill="auto"/>
            <w:noWrap/>
            <w:vAlign w:val="bottom"/>
            <w:hideMark/>
          </w:tcPr>
          <w:p w14:paraId="1C89760C" w14:textId="77777777" w:rsidR="004375A3" w:rsidRPr="004375A3" w:rsidRDefault="004375A3" w:rsidP="004375A3">
            <w:pPr>
              <w:ind w:firstLine="0"/>
              <w:jc w:val="left"/>
              <w:rPr>
                <w:sz w:val="20"/>
                <w:szCs w:val="20"/>
              </w:rPr>
            </w:pPr>
          </w:p>
        </w:tc>
        <w:tc>
          <w:tcPr>
            <w:tcW w:w="339" w:type="pct"/>
            <w:tcBorders>
              <w:top w:val="nil"/>
              <w:left w:val="nil"/>
              <w:bottom w:val="nil"/>
              <w:right w:val="nil"/>
            </w:tcBorders>
            <w:shd w:val="clear" w:color="auto" w:fill="auto"/>
            <w:noWrap/>
            <w:vAlign w:val="bottom"/>
            <w:hideMark/>
          </w:tcPr>
          <w:p w14:paraId="60826507"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056AA001"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6688ED66"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2E08543F" w14:textId="77777777" w:rsidR="004375A3" w:rsidRPr="004375A3" w:rsidRDefault="004375A3" w:rsidP="004375A3">
            <w:pPr>
              <w:ind w:firstLine="0"/>
              <w:jc w:val="left"/>
              <w:rPr>
                <w:sz w:val="20"/>
                <w:szCs w:val="20"/>
              </w:rPr>
            </w:pPr>
          </w:p>
        </w:tc>
      </w:tr>
      <w:tr w:rsidR="004375A3" w:rsidRPr="004375A3" w14:paraId="6F8DF6D1" w14:textId="77777777" w:rsidTr="004375A3">
        <w:trPr>
          <w:gridAfter w:val="1"/>
          <w:wAfter w:w="6" w:type="pct"/>
          <w:trHeight w:val="300"/>
        </w:trPr>
        <w:tc>
          <w:tcPr>
            <w:tcW w:w="1169" w:type="pct"/>
            <w:gridSpan w:val="2"/>
            <w:tcBorders>
              <w:top w:val="nil"/>
              <w:left w:val="nil"/>
              <w:bottom w:val="nil"/>
              <w:right w:val="nil"/>
            </w:tcBorders>
            <w:shd w:val="clear" w:color="auto" w:fill="auto"/>
            <w:noWrap/>
            <w:vAlign w:val="bottom"/>
            <w:hideMark/>
          </w:tcPr>
          <w:p w14:paraId="36C31324" w14:textId="77777777" w:rsidR="004375A3" w:rsidRPr="004375A3" w:rsidRDefault="004375A3" w:rsidP="004375A3">
            <w:pPr>
              <w:ind w:firstLine="0"/>
              <w:jc w:val="left"/>
              <w:rPr>
                <w:b/>
                <w:bCs/>
                <w:sz w:val="22"/>
                <w:szCs w:val="22"/>
              </w:rPr>
            </w:pPr>
            <w:r w:rsidRPr="004375A3">
              <w:rPr>
                <w:b/>
                <w:bCs/>
                <w:sz w:val="22"/>
                <w:szCs w:val="22"/>
              </w:rPr>
              <w:t>Источники ценовой информации:</w:t>
            </w:r>
          </w:p>
        </w:tc>
        <w:tc>
          <w:tcPr>
            <w:tcW w:w="333" w:type="pct"/>
            <w:tcBorders>
              <w:top w:val="nil"/>
              <w:left w:val="nil"/>
              <w:bottom w:val="nil"/>
              <w:right w:val="nil"/>
            </w:tcBorders>
            <w:shd w:val="clear" w:color="auto" w:fill="auto"/>
            <w:noWrap/>
            <w:vAlign w:val="bottom"/>
            <w:hideMark/>
          </w:tcPr>
          <w:p w14:paraId="74C220F8" w14:textId="77777777" w:rsidR="004375A3" w:rsidRPr="004375A3" w:rsidRDefault="004375A3" w:rsidP="004375A3">
            <w:pPr>
              <w:ind w:firstLine="0"/>
              <w:jc w:val="left"/>
              <w:rPr>
                <w:b/>
                <w:bCs/>
                <w:sz w:val="22"/>
                <w:szCs w:val="22"/>
              </w:rPr>
            </w:pPr>
          </w:p>
        </w:tc>
        <w:tc>
          <w:tcPr>
            <w:tcW w:w="362" w:type="pct"/>
            <w:tcBorders>
              <w:top w:val="nil"/>
              <w:left w:val="nil"/>
              <w:bottom w:val="nil"/>
              <w:right w:val="nil"/>
            </w:tcBorders>
            <w:shd w:val="clear" w:color="auto" w:fill="auto"/>
            <w:noWrap/>
            <w:vAlign w:val="bottom"/>
            <w:hideMark/>
          </w:tcPr>
          <w:p w14:paraId="5677C294" w14:textId="77777777" w:rsidR="004375A3" w:rsidRPr="004375A3" w:rsidRDefault="004375A3" w:rsidP="004375A3">
            <w:pPr>
              <w:ind w:firstLine="0"/>
              <w:jc w:val="left"/>
              <w:rPr>
                <w:sz w:val="20"/>
                <w:szCs w:val="20"/>
              </w:rPr>
            </w:pPr>
          </w:p>
        </w:tc>
        <w:tc>
          <w:tcPr>
            <w:tcW w:w="385" w:type="pct"/>
            <w:tcBorders>
              <w:top w:val="nil"/>
              <w:left w:val="nil"/>
              <w:bottom w:val="nil"/>
              <w:right w:val="nil"/>
            </w:tcBorders>
            <w:shd w:val="clear" w:color="auto" w:fill="auto"/>
            <w:noWrap/>
            <w:vAlign w:val="bottom"/>
            <w:hideMark/>
          </w:tcPr>
          <w:p w14:paraId="4B70849A" w14:textId="77777777" w:rsidR="004375A3" w:rsidRPr="004375A3" w:rsidRDefault="004375A3" w:rsidP="004375A3">
            <w:pPr>
              <w:ind w:firstLine="0"/>
              <w:jc w:val="left"/>
              <w:rPr>
                <w:sz w:val="20"/>
                <w:szCs w:val="20"/>
              </w:rPr>
            </w:pPr>
          </w:p>
        </w:tc>
        <w:tc>
          <w:tcPr>
            <w:tcW w:w="383" w:type="pct"/>
            <w:tcBorders>
              <w:top w:val="nil"/>
              <w:left w:val="nil"/>
              <w:bottom w:val="nil"/>
              <w:right w:val="nil"/>
            </w:tcBorders>
            <w:shd w:val="clear" w:color="auto" w:fill="auto"/>
            <w:noWrap/>
            <w:vAlign w:val="bottom"/>
            <w:hideMark/>
          </w:tcPr>
          <w:p w14:paraId="369BE3CF" w14:textId="77777777" w:rsidR="004375A3" w:rsidRPr="004375A3" w:rsidRDefault="004375A3" w:rsidP="004375A3">
            <w:pPr>
              <w:ind w:firstLine="0"/>
              <w:jc w:val="left"/>
              <w:rPr>
                <w:sz w:val="20"/>
                <w:szCs w:val="20"/>
              </w:rPr>
            </w:pPr>
          </w:p>
        </w:tc>
        <w:tc>
          <w:tcPr>
            <w:tcW w:w="368" w:type="pct"/>
            <w:tcBorders>
              <w:top w:val="nil"/>
              <w:left w:val="nil"/>
              <w:bottom w:val="nil"/>
              <w:right w:val="nil"/>
            </w:tcBorders>
            <w:shd w:val="clear" w:color="auto" w:fill="auto"/>
            <w:noWrap/>
            <w:vAlign w:val="bottom"/>
            <w:hideMark/>
          </w:tcPr>
          <w:p w14:paraId="157F4A34" w14:textId="77777777" w:rsidR="004375A3" w:rsidRPr="004375A3" w:rsidRDefault="004375A3" w:rsidP="004375A3">
            <w:pPr>
              <w:ind w:firstLine="0"/>
              <w:jc w:val="left"/>
              <w:rPr>
                <w:sz w:val="20"/>
                <w:szCs w:val="20"/>
              </w:rPr>
            </w:pPr>
          </w:p>
        </w:tc>
        <w:tc>
          <w:tcPr>
            <w:tcW w:w="350" w:type="pct"/>
            <w:tcBorders>
              <w:top w:val="nil"/>
              <w:left w:val="nil"/>
              <w:bottom w:val="nil"/>
              <w:right w:val="nil"/>
            </w:tcBorders>
            <w:shd w:val="clear" w:color="auto" w:fill="auto"/>
            <w:noWrap/>
            <w:vAlign w:val="bottom"/>
            <w:hideMark/>
          </w:tcPr>
          <w:p w14:paraId="4F4E63BD" w14:textId="77777777" w:rsidR="004375A3" w:rsidRPr="004375A3" w:rsidRDefault="004375A3" w:rsidP="004375A3">
            <w:pPr>
              <w:ind w:firstLine="0"/>
              <w:jc w:val="left"/>
              <w:rPr>
                <w:sz w:val="20"/>
                <w:szCs w:val="20"/>
              </w:rPr>
            </w:pPr>
          </w:p>
        </w:tc>
        <w:tc>
          <w:tcPr>
            <w:tcW w:w="339" w:type="pct"/>
            <w:tcBorders>
              <w:top w:val="nil"/>
              <w:left w:val="nil"/>
              <w:bottom w:val="nil"/>
              <w:right w:val="nil"/>
            </w:tcBorders>
            <w:shd w:val="clear" w:color="auto" w:fill="auto"/>
            <w:noWrap/>
            <w:vAlign w:val="bottom"/>
            <w:hideMark/>
          </w:tcPr>
          <w:p w14:paraId="0D552201"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160639C3"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07E2A690"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1D1CA90C" w14:textId="77777777" w:rsidR="004375A3" w:rsidRPr="004375A3" w:rsidRDefault="004375A3" w:rsidP="004375A3">
            <w:pPr>
              <w:ind w:firstLine="0"/>
              <w:jc w:val="left"/>
              <w:rPr>
                <w:sz w:val="20"/>
                <w:szCs w:val="20"/>
              </w:rPr>
            </w:pPr>
          </w:p>
        </w:tc>
      </w:tr>
      <w:tr w:rsidR="004375A3" w:rsidRPr="004375A3" w14:paraId="7ED1B150" w14:textId="77777777" w:rsidTr="004375A3">
        <w:trPr>
          <w:gridAfter w:val="1"/>
          <w:wAfter w:w="6" w:type="pct"/>
          <w:trHeight w:val="762"/>
        </w:trPr>
        <w:tc>
          <w:tcPr>
            <w:tcW w:w="227"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34429860" w14:textId="77777777" w:rsidR="004375A3" w:rsidRPr="004375A3" w:rsidRDefault="004375A3" w:rsidP="004375A3">
            <w:pPr>
              <w:ind w:firstLine="0"/>
              <w:jc w:val="center"/>
              <w:rPr>
                <w:sz w:val="20"/>
                <w:szCs w:val="20"/>
              </w:rPr>
            </w:pPr>
            <w:r w:rsidRPr="004375A3">
              <w:rPr>
                <w:sz w:val="20"/>
                <w:szCs w:val="20"/>
              </w:rPr>
              <w:t>№</w:t>
            </w:r>
          </w:p>
        </w:tc>
        <w:tc>
          <w:tcPr>
            <w:tcW w:w="2022" w:type="pct"/>
            <w:gridSpan w:val="4"/>
            <w:tcBorders>
              <w:top w:val="single" w:sz="4" w:space="0" w:color="000000"/>
              <w:left w:val="nil"/>
              <w:bottom w:val="single" w:sz="4" w:space="0" w:color="000000"/>
              <w:right w:val="single" w:sz="4" w:space="0" w:color="000000"/>
            </w:tcBorders>
            <w:shd w:val="clear" w:color="000000" w:fill="E4E4E4"/>
            <w:vAlign w:val="bottom"/>
            <w:hideMark/>
          </w:tcPr>
          <w:p w14:paraId="79DC7CCE" w14:textId="77777777" w:rsidR="004375A3" w:rsidRPr="004375A3" w:rsidRDefault="004375A3" w:rsidP="004375A3">
            <w:pPr>
              <w:ind w:firstLine="0"/>
              <w:jc w:val="center"/>
              <w:rPr>
                <w:sz w:val="20"/>
                <w:szCs w:val="20"/>
              </w:rPr>
            </w:pPr>
            <w:r w:rsidRPr="004375A3">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1101" w:type="pct"/>
            <w:gridSpan w:val="3"/>
            <w:tcBorders>
              <w:top w:val="single" w:sz="4" w:space="0" w:color="000000"/>
              <w:left w:val="nil"/>
              <w:bottom w:val="single" w:sz="4" w:space="0" w:color="000000"/>
              <w:right w:val="single" w:sz="4" w:space="0" w:color="000000"/>
            </w:tcBorders>
            <w:shd w:val="clear" w:color="000000" w:fill="E4E4E4"/>
            <w:noWrap/>
            <w:vAlign w:val="center"/>
            <w:hideMark/>
          </w:tcPr>
          <w:p w14:paraId="1AACD430" w14:textId="77777777" w:rsidR="004375A3" w:rsidRPr="004375A3" w:rsidRDefault="004375A3" w:rsidP="004375A3">
            <w:pPr>
              <w:ind w:firstLine="0"/>
              <w:jc w:val="center"/>
              <w:rPr>
                <w:sz w:val="20"/>
                <w:szCs w:val="20"/>
              </w:rPr>
            </w:pPr>
            <w:r w:rsidRPr="004375A3">
              <w:rPr>
                <w:sz w:val="20"/>
                <w:szCs w:val="20"/>
              </w:rPr>
              <w:t>Срок действия</w:t>
            </w:r>
          </w:p>
        </w:tc>
        <w:tc>
          <w:tcPr>
            <w:tcW w:w="339" w:type="pct"/>
            <w:tcBorders>
              <w:top w:val="nil"/>
              <w:left w:val="nil"/>
              <w:bottom w:val="nil"/>
              <w:right w:val="nil"/>
            </w:tcBorders>
            <w:shd w:val="clear" w:color="auto" w:fill="auto"/>
            <w:noWrap/>
            <w:vAlign w:val="bottom"/>
            <w:hideMark/>
          </w:tcPr>
          <w:p w14:paraId="7354F7E5" w14:textId="77777777" w:rsidR="004375A3" w:rsidRPr="004375A3" w:rsidRDefault="004375A3" w:rsidP="004375A3">
            <w:pPr>
              <w:ind w:firstLine="0"/>
              <w:jc w:val="center"/>
              <w:rPr>
                <w:sz w:val="20"/>
                <w:szCs w:val="20"/>
              </w:rPr>
            </w:pPr>
          </w:p>
        </w:tc>
        <w:tc>
          <w:tcPr>
            <w:tcW w:w="415" w:type="pct"/>
            <w:tcBorders>
              <w:top w:val="nil"/>
              <w:left w:val="nil"/>
              <w:bottom w:val="nil"/>
              <w:right w:val="nil"/>
            </w:tcBorders>
            <w:shd w:val="clear" w:color="auto" w:fill="auto"/>
            <w:noWrap/>
            <w:vAlign w:val="bottom"/>
            <w:hideMark/>
          </w:tcPr>
          <w:p w14:paraId="1DB710D1"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130CE8E3"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714F0076" w14:textId="77777777" w:rsidR="004375A3" w:rsidRPr="004375A3" w:rsidRDefault="004375A3" w:rsidP="004375A3">
            <w:pPr>
              <w:ind w:firstLine="0"/>
              <w:jc w:val="left"/>
              <w:rPr>
                <w:sz w:val="20"/>
                <w:szCs w:val="20"/>
              </w:rPr>
            </w:pPr>
            <w:bookmarkStart w:id="1" w:name="_GoBack"/>
            <w:bookmarkEnd w:id="1"/>
          </w:p>
        </w:tc>
      </w:tr>
      <w:tr w:rsidR="004375A3" w:rsidRPr="004375A3" w14:paraId="47EA69C2" w14:textId="77777777" w:rsidTr="004375A3">
        <w:trPr>
          <w:gridAfter w:val="1"/>
          <w:wAfter w:w="6" w:type="pct"/>
          <w:trHeight w:val="259"/>
        </w:trPr>
        <w:tc>
          <w:tcPr>
            <w:tcW w:w="227" w:type="pct"/>
            <w:tcBorders>
              <w:top w:val="nil"/>
              <w:left w:val="single" w:sz="4" w:space="0" w:color="000000"/>
              <w:bottom w:val="single" w:sz="4" w:space="0" w:color="000000"/>
              <w:right w:val="single" w:sz="4" w:space="0" w:color="000000"/>
            </w:tcBorders>
            <w:shd w:val="clear" w:color="auto" w:fill="auto"/>
            <w:noWrap/>
            <w:vAlign w:val="bottom"/>
            <w:hideMark/>
          </w:tcPr>
          <w:p w14:paraId="4D8C5368" w14:textId="77777777" w:rsidR="004375A3" w:rsidRPr="004375A3" w:rsidRDefault="004375A3" w:rsidP="004375A3">
            <w:pPr>
              <w:ind w:firstLine="0"/>
              <w:jc w:val="left"/>
              <w:rPr>
                <w:sz w:val="20"/>
                <w:szCs w:val="20"/>
              </w:rPr>
            </w:pPr>
            <w:r w:rsidRPr="004375A3">
              <w:rPr>
                <w:sz w:val="20"/>
                <w:szCs w:val="20"/>
              </w:rPr>
              <w:t>1</w:t>
            </w:r>
          </w:p>
        </w:tc>
        <w:tc>
          <w:tcPr>
            <w:tcW w:w="2022" w:type="pct"/>
            <w:gridSpan w:val="4"/>
            <w:tcBorders>
              <w:top w:val="single" w:sz="4" w:space="0" w:color="000000"/>
              <w:left w:val="nil"/>
              <w:bottom w:val="single" w:sz="4" w:space="0" w:color="000000"/>
              <w:right w:val="single" w:sz="4" w:space="0" w:color="000000"/>
            </w:tcBorders>
            <w:shd w:val="clear" w:color="auto" w:fill="auto"/>
            <w:vAlign w:val="bottom"/>
            <w:hideMark/>
          </w:tcPr>
          <w:p w14:paraId="1B6894AD" w14:textId="77777777" w:rsidR="004375A3" w:rsidRPr="004375A3" w:rsidRDefault="004375A3" w:rsidP="004375A3">
            <w:pPr>
              <w:ind w:firstLine="0"/>
              <w:jc w:val="left"/>
              <w:rPr>
                <w:sz w:val="20"/>
                <w:szCs w:val="20"/>
              </w:rPr>
            </w:pPr>
            <w:r w:rsidRPr="004375A3">
              <w:rPr>
                <w:sz w:val="20"/>
                <w:szCs w:val="20"/>
              </w:rPr>
              <w:t>1 от 02.06.2026</w:t>
            </w:r>
          </w:p>
        </w:tc>
        <w:tc>
          <w:tcPr>
            <w:tcW w:w="1101" w:type="pct"/>
            <w:gridSpan w:val="3"/>
            <w:tcBorders>
              <w:top w:val="single" w:sz="4" w:space="0" w:color="000000"/>
              <w:left w:val="nil"/>
              <w:bottom w:val="single" w:sz="4" w:space="0" w:color="000000"/>
              <w:right w:val="single" w:sz="4" w:space="0" w:color="000000"/>
            </w:tcBorders>
            <w:shd w:val="clear" w:color="auto" w:fill="auto"/>
            <w:vAlign w:val="bottom"/>
            <w:hideMark/>
          </w:tcPr>
          <w:p w14:paraId="161C66CD" w14:textId="77777777" w:rsidR="004375A3" w:rsidRPr="004375A3" w:rsidRDefault="004375A3" w:rsidP="004375A3">
            <w:pPr>
              <w:ind w:firstLine="0"/>
              <w:jc w:val="left"/>
              <w:rPr>
                <w:sz w:val="20"/>
                <w:szCs w:val="20"/>
              </w:rPr>
            </w:pPr>
            <w:r w:rsidRPr="004375A3">
              <w:rPr>
                <w:sz w:val="20"/>
                <w:szCs w:val="20"/>
              </w:rPr>
              <w:t>06.12.2026</w:t>
            </w:r>
          </w:p>
        </w:tc>
        <w:tc>
          <w:tcPr>
            <w:tcW w:w="339" w:type="pct"/>
            <w:tcBorders>
              <w:top w:val="nil"/>
              <w:left w:val="nil"/>
              <w:bottom w:val="nil"/>
              <w:right w:val="nil"/>
            </w:tcBorders>
            <w:shd w:val="clear" w:color="auto" w:fill="auto"/>
            <w:noWrap/>
            <w:vAlign w:val="bottom"/>
            <w:hideMark/>
          </w:tcPr>
          <w:p w14:paraId="5AA0718E"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58313F6F"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745B5FE9"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707B5EA2" w14:textId="77777777" w:rsidR="004375A3" w:rsidRPr="004375A3" w:rsidRDefault="004375A3" w:rsidP="004375A3">
            <w:pPr>
              <w:ind w:firstLine="0"/>
              <w:jc w:val="left"/>
              <w:rPr>
                <w:sz w:val="20"/>
                <w:szCs w:val="20"/>
              </w:rPr>
            </w:pPr>
          </w:p>
        </w:tc>
      </w:tr>
      <w:tr w:rsidR="004375A3" w:rsidRPr="004375A3" w14:paraId="2D2B2443" w14:textId="77777777" w:rsidTr="004375A3">
        <w:trPr>
          <w:gridAfter w:val="1"/>
          <w:wAfter w:w="6" w:type="pct"/>
          <w:trHeight w:val="259"/>
        </w:trPr>
        <w:tc>
          <w:tcPr>
            <w:tcW w:w="227" w:type="pct"/>
            <w:tcBorders>
              <w:top w:val="nil"/>
              <w:left w:val="single" w:sz="4" w:space="0" w:color="000000"/>
              <w:bottom w:val="single" w:sz="4" w:space="0" w:color="000000"/>
              <w:right w:val="single" w:sz="4" w:space="0" w:color="000000"/>
            </w:tcBorders>
            <w:shd w:val="clear" w:color="auto" w:fill="auto"/>
            <w:noWrap/>
            <w:vAlign w:val="bottom"/>
            <w:hideMark/>
          </w:tcPr>
          <w:p w14:paraId="06E80987" w14:textId="77777777" w:rsidR="004375A3" w:rsidRPr="004375A3" w:rsidRDefault="004375A3" w:rsidP="004375A3">
            <w:pPr>
              <w:ind w:firstLine="0"/>
              <w:jc w:val="left"/>
              <w:rPr>
                <w:sz w:val="20"/>
                <w:szCs w:val="20"/>
              </w:rPr>
            </w:pPr>
            <w:r w:rsidRPr="004375A3">
              <w:rPr>
                <w:sz w:val="20"/>
                <w:szCs w:val="20"/>
              </w:rPr>
              <w:t>2</w:t>
            </w:r>
          </w:p>
        </w:tc>
        <w:tc>
          <w:tcPr>
            <w:tcW w:w="2022" w:type="pct"/>
            <w:gridSpan w:val="4"/>
            <w:tcBorders>
              <w:top w:val="single" w:sz="4" w:space="0" w:color="000000"/>
              <w:left w:val="nil"/>
              <w:bottom w:val="single" w:sz="4" w:space="0" w:color="000000"/>
              <w:right w:val="single" w:sz="4" w:space="0" w:color="000000"/>
            </w:tcBorders>
            <w:shd w:val="clear" w:color="auto" w:fill="auto"/>
            <w:vAlign w:val="bottom"/>
            <w:hideMark/>
          </w:tcPr>
          <w:p w14:paraId="0EC22F8D" w14:textId="77777777" w:rsidR="004375A3" w:rsidRPr="004375A3" w:rsidRDefault="004375A3" w:rsidP="004375A3">
            <w:pPr>
              <w:ind w:firstLine="0"/>
              <w:jc w:val="left"/>
              <w:rPr>
                <w:sz w:val="20"/>
                <w:szCs w:val="20"/>
              </w:rPr>
            </w:pPr>
            <w:r w:rsidRPr="004375A3">
              <w:rPr>
                <w:sz w:val="20"/>
                <w:szCs w:val="20"/>
              </w:rPr>
              <w:t>1 от 02.06.2026</w:t>
            </w:r>
          </w:p>
        </w:tc>
        <w:tc>
          <w:tcPr>
            <w:tcW w:w="1101" w:type="pct"/>
            <w:gridSpan w:val="3"/>
            <w:tcBorders>
              <w:top w:val="single" w:sz="4" w:space="0" w:color="000000"/>
              <w:left w:val="nil"/>
              <w:bottom w:val="single" w:sz="4" w:space="0" w:color="000000"/>
              <w:right w:val="single" w:sz="4" w:space="0" w:color="000000"/>
            </w:tcBorders>
            <w:shd w:val="clear" w:color="auto" w:fill="auto"/>
            <w:vAlign w:val="bottom"/>
            <w:hideMark/>
          </w:tcPr>
          <w:p w14:paraId="4AA6EDD8" w14:textId="77777777" w:rsidR="004375A3" w:rsidRPr="004375A3" w:rsidRDefault="004375A3" w:rsidP="004375A3">
            <w:pPr>
              <w:ind w:firstLine="0"/>
              <w:jc w:val="left"/>
              <w:rPr>
                <w:sz w:val="20"/>
                <w:szCs w:val="20"/>
              </w:rPr>
            </w:pPr>
            <w:r w:rsidRPr="004375A3">
              <w:rPr>
                <w:sz w:val="20"/>
                <w:szCs w:val="20"/>
              </w:rPr>
              <w:t>31.12.2026</w:t>
            </w:r>
          </w:p>
        </w:tc>
        <w:tc>
          <w:tcPr>
            <w:tcW w:w="339" w:type="pct"/>
            <w:tcBorders>
              <w:top w:val="nil"/>
              <w:left w:val="nil"/>
              <w:bottom w:val="nil"/>
              <w:right w:val="nil"/>
            </w:tcBorders>
            <w:shd w:val="clear" w:color="auto" w:fill="auto"/>
            <w:noWrap/>
            <w:vAlign w:val="bottom"/>
            <w:hideMark/>
          </w:tcPr>
          <w:p w14:paraId="00FF4519"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5C0A8A73"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1B6E4ABA"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7135848E" w14:textId="77777777" w:rsidR="004375A3" w:rsidRPr="004375A3" w:rsidRDefault="004375A3" w:rsidP="004375A3">
            <w:pPr>
              <w:ind w:firstLine="0"/>
              <w:jc w:val="left"/>
              <w:rPr>
                <w:sz w:val="20"/>
                <w:szCs w:val="20"/>
              </w:rPr>
            </w:pPr>
          </w:p>
        </w:tc>
      </w:tr>
      <w:tr w:rsidR="004375A3" w:rsidRPr="004375A3" w14:paraId="6D89CD1D" w14:textId="77777777" w:rsidTr="004375A3">
        <w:trPr>
          <w:gridAfter w:val="1"/>
          <w:wAfter w:w="6" w:type="pct"/>
          <w:trHeight w:val="259"/>
        </w:trPr>
        <w:tc>
          <w:tcPr>
            <w:tcW w:w="227" w:type="pct"/>
            <w:tcBorders>
              <w:top w:val="nil"/>
              <w:left w:val="single" w:sz="4" w:space="0" w:color="000000"/>
              <w:bottom w:val="single" w:sz="4" w:space="0" w:color="000000"/>
              <w:right w:val="single" w:sz="4" w:space="0" w:color="000000"/>
            </w:tcBorders>
            <w:shd w:val="clear" w:color="auto" w:fill="auto"/>
            <w:noWrap/>
            <w:vAlign w:val="bottom"/>
            <w:hideMark/>
          </w:tcPr>
          <w:p w14:paraId="6B1AEEBC" w14:textId="77777777" w:rsidR="004375A3" w:rsidRPr="004375A3" w:rsidRDefault="004375A3" w:rsidP="004375A3">
            <w:pPr>
              <w:ind w:firstLine="0"/>
              <w:jc w:val="left"/>
              <w:rPr>
                <w:sz w:val="20"/>
                <w:szCs w:val="20"/>
              </w:rPr>
            </w:pPr>
            <w:r w:rsidRPr="004375A3">
              <w:rPr>
                <w:sz w:val="20"/>
                <w:szCs w:val="20"/>
              </w:rPr>
              <w:t>3</w:t>
            </w:r>
          </w:p>
        </w:tc>
        <w:tc>
          <w:tcPr>
            <w:tcW w:w="2022" w:type="pct"/>
            <w:gridSpan w:val="4"/>
            <w:tcBorders>
              <w:top w:val="single" w:sz="4" w:space="0" w:color="000000"/>
              <w:left w:val="nil"/>
              <w:bottom w:val="single" w:sz="4" w:space="0" w:color="000000"/>
              <w:right w:val="single" w:sz="4" w:space="0" w:color="000000"/>
            </w:tcBorders>
            <w:shd w:val="clear" w:color="auto" w:fill="auto"/>
            <w:vAlign w:val="bottom"/>
            <w:hideMark/>
          </w:tcPr>
          <w:p w14:paraId="03459EAF" w14:textId="77777777" w:rsidR="004375A3" w:rsidRPr="004375A3" w:rsidRDefault="004375A3" w:rsidP="004375A3">
            <w:pPr>
              <w:ind w:firstLine="0"/>
              <w:jc w:val="left"/>
              <w:rPr>
                <w:sz w:val="20"/>
                <w:szCs w:val="20"/>
              </w:rPr>
            </w:pPr>
            <w:r w:rsidRPr="004375A3">
              <w:rPr>
                <w:sz w:val="20"/>
                <w:szCs w:val="20"/>
              </w:rPr>
              <w:t>МР63-16/3870 от 22.06.2026</w:t>
            </w:r>
          </w:p>
        </w:tc>
        <w:tc>
          <w:tcPr>
            <w:tcW w:w="1101" w:type="pct"/>
            <w:gridSpan w:val="3"/>
            <w:tcBorders>
              <w:top w:val="single" w:sz="4" w:space="0" w:color="000000"/>
              <w:left w:val="nil"/>
              <w:bottom w:val="single" w:sz="4" w:space="0" w:color="000000"/>
              <w:right w:val="single" w:sz="4" w:space="0" w:color="000000"/>
            </w:tcBorders>
            <w:shd w:val="clear" w:color="auto" w:fill="auto"/>
            <w:vAlign w:val="bottom"/>
            <w:hideMark/>
          </w:tcPr>
          <w:p w14:paraId="20E540C5" w14:textId="77777777" w:rsidR="004375A3" w:rsidRPr="004375A3" w:rsidRDefault="004375A3" w:rsidP="004375A3">
            <w:pPr>
              <w:ind w:firstLine="0"/>
              <w:jc w:val="left"/>
              <w:rPr>
                <w:sz w:val="20"/>
                <w:szCs w:val="20"/>
              </w:rPr>
            </w:pPr>
            <w:r w:rsidRPr="004375A3">
              <w:rPr>
                <w:sz w:val="20"/>
                <w:szCs w:val="20"/>
              </w:rPr>
              <w:t>22.12.2026</w:t>
            </w:r>
          </w:p>
        </w:tc>
        <w:tc>
          <w:tcPr>
            <w:tcW w:w="339" w:type="pct"/>
            <w:tcBorders>
              <w:top w:val="nil"/>
              <w:left w:val="nil"/>
              <w:bottom w:val="nil"/>
              <w:right w:val="nil"/>
            </w:tcBorders>
            <w:shd w:val="clear" w:color="auto" w:fill="auto"/>
            <w:noWrap/>
            <w:vAlign w:val="bottom"/>
            <w:hideMark/>
          </w:tcPr>
          <w:p w14:paraId="15F28AF5" w14:textId="77777777" w:rsidR="004375A3" w:rsidRPr="004375A3" w:rsidRDefault="004375A3" w:rsidP="004375A3">
            <w:pPr>
              <w:ind w:firstLine="0"/>
              <w:jc w:val="left"/>
              <w:rPr>
                <w:sz w:val="20"/>
                <w:szCs w:val="20"/>
              </w:rPr>
            </w:pPr>
          </w:p>
        </w:tc>
        <w:tc>
          <w:tcPr>
            <w:tcW w:w="415" w:type="pct"/>
            <w:tcBorders>
              <w:top w:val="nil"/>
              <w:left w:val="nil"/>
              <w:bottom w:val="nil"/>
              <w:right w:val="nil"/>
            </w:tcBorders>
            <w:shd w:val="clear" w:color="auto" w:fill="auto"/>
            <w:noWrap/>
            <w:vAlign w:val="bottom"/>
            <w:hideMark/>
          </w:tcPr>
          <w:p w14:paraId="14C984C4" w14:textId="77777777" w:rsidR="004375A3" w:rsidRPr="004375A3" w:rsidRDefault="004375A3" w:rsidP="004375A3">
            <w:pPr>
              <w:ind w:firstLine="0"/>
              <w:jc w:val="left"/>
              <w:rPr>
                <w:sz w:val="20"/>
                <w:szCs w:val="20"/>
              </w:rPr>
            </w:pPr>
          </w:p>
        </w:tc>
        <w:tc>
          <w:tcPr>
            <w:tcW w:w="432" w:type="pct"/>
            <w:tcBorders>
              <w:top w:val="nil"/>
              <w:left w:val="nil"/>
              <w:bottom w:val="nil"/>
              <w:right w:val="nil"/>
            </w:tcBorders>
            <w:shd w:val="clear" w:color="auto" w:fill="auto"/>
            <w:noWrap/>
            <w:vAlign w:val="bottom"/>
            <w:hideMark/>
          </w:tcPr>
          <w:p w14:paraId="11F709AE" w14:textId="77777777" w:rsidR="004375A3" w:rsidRPr="004375A3" w:rsidRDefault="004375A3" w:rsidP="004375A3">
            <w:pPr>
              <w:ind w:firstLine="0"/>
              <w:jc w:val="left"/>
              <w:rPr>
                <w:sz w:val="20"/>
                <w:szCs w:val="20"/>
              </w:rPr>
            </w:pPr>
          </w:p>
        </w:tc>
        <w:tc>
          <w:tcPr>
            <w:tcW w:w="459" w:type="pct"/>
            <w:tcBorders>
              <w:top w:val="nil"/>
              <w:left w:val="nil"/>
              <w:bottom w:val="nil"/>
              <w:right w:val="nil"/>
            </w:tcBorders>
            <w:shd w:val="clear" w:color="auto" w:fill="auto"/>
            <w:noWrap/>
            <w:vAlign w:val="bottom"/>
            <w:hideMark/>
          </w:tcPr>
          <w:p w14:paraId="4D3B0DB6" w14:textId="77777777" w:rsidR="004375A3" w:rsidRPr="004375A3" w:rsidRDefault="004375A3" w:rsidP="004375A3">
            <w:pPr>
              <w:ind w:firstLine="0"/>
              <w:jc w:val="left"/>
              <w:rPr>
                <w:sz w:val="20"/>
                <w:szCs w:val="20"/>
              </w:rPr>
            </w:pPr>
          </w:p>
        </w:tc>
      </w:tr>
    </w:tbl>
    <w:p w14:paraId="04326D58" w14:textId="1D997CAC" w:rsidR="00ED6C19" w:rsidRPr="00000CF9" w:rsidRDefault="00ED6C19" w:rsidP="00ED6C19">
      <w:pPr>
        <w:jc w:val="right"/>
        <w:rPr>
          <w:sz w:val="20"/>
          <w:szCs w:val="20"/>
        </w:rPr>
      </w:pPr>
    </w:p>
    <w:sectPr w:rsidR="00ED6C19" w:rsidRPr="00000CF9" w:rsidSect="00D7383D">
      <w:pgSz w:w="16838" w:h="11906" w:orient="landscape"/>
      <w:pgMar w:top="567" w:right="1103"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C988C" w14:textId="77777777" w:rsidR="00B03427" w:rsidRDefault="00B03427">
      <w:r>
        <w:separator/>
      </w:r>
    </w:p>
  </w:endnote>
  <w:endnote w:type="continuationSeparator" w:id="0">
    <w:p w14:paraId="45482709" w14:textId="77777777" w:rsidR="00B03427" w:rsidRDefault="00B0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9BC2A" w14:textId="77777777" w:rsidR="00B03427" w:rsidRDefault="00B03427">
      <w:r>
        <w:separator/>
      </w:r>
    </w:p>
  </w:footnote>
  <w:footnote w:type="continuationSeparator" w:id="0">
    <w:p w14:paraId="2EC0A741" w14:textId="77777777" w:rsidR="00B03427" w:rsidRDefault="00B0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048B"/>
    <w:rsid w:val="00022EA1"/>
    <w:rsid w:val="000261A3"/>
    <w:rsid w:val="000271C0"/>
    <w:rsid w:val="000312C8"/>
    <w:rsid w:val="00031D54"/>
    <w:rsid w:val="00034F91"/>
    <w:rsid w:val="000419EC"/>
    <w:rsid w:val="00041BA6"/>
    <w:rsid w:val="0004369C"/>
    <w:rsid w:val="00050A77"/>
    <w:rsid w:val="00051F49"/>
    <w:rsid w:val="000538F0"/>
    <w:rsid w:val="0005515F"/>
    <w:rsid w:val="00061158"/>
    <w:rsid w:val="000648EB"/>
    <w:rsid w:val="00064A36"/>
    <w:rsid w:val="000664C5"/>
    <w:rsid w:val="00075DB6"/>
    <w:rsid w:val="000760C1"/>
    <w:rsid w:val="0007673B"/>
    <w:rsid w:val="000833E4"/>
    <w:rsid w:val="00086B30"/>
    <w:rsid w:val="000872AE"/>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3D3D"/>
    <w:rsid w:val="000E69F5"/>
    <w:rsid w:val="000E722D"/>
    <w:rsid w:val="000F18EE"/>
    <w:rsid w:val="000F1CD6"/>
    <w:rsid w:val="000F49B0"/>
    <w:rsid w:val="000F7A2D"/>
    <w:rsid w:val="00100AFE"/>
    <w:rsid w:val="00100C95"/>
    <w:rsid w:val="001023A4"/>
    <w:rsid w:val="00103713"/>
    <w:rsid w:val="00103778"/>
    <w:rsid w:val="00104288"/>
    <w:rsid w:val="00110463"/>
    <w:rsid w:val="001133F7"/>
    <w:rsid w:val="00117DEE"/>
    <w:rsid w:val="00120CB6"/>
    <w:rsid w:val="00122C1E"/>
    <w:rsid w:val="001274B5"/>
    <w:rsid w:val="00127544"/>
    <w:rsid w:val="0013032F"/>
    <w:rsid w:val="001304A9"/>
    <w:rsid w:val="00130E7B"/>
    <w:rsid w:val="00131036"/>
    <w:rsid w:val="0013413F"/>
    <w:rsid w:val="00137297"/>
    <w:rsid w:val="00144A09"/>
    <w:rsid w:val="00145548"/>
    <w:rsid w:val="00146487"/>
    <w:rsid w:val="0015065D"/>
    <w:rsid w:val="00151718"/>
    <w:rsid w:val="00151C2C"/>
    <w:rsid w:val="00155E4F"/>
    <w:rsid w:val="0015763B"/>
    <w:rsid w:val="001579E1"/>
    <w:rsid w:val="00163676"/>
    <w:rsid w:val="0016446A"/>
    <w:rsid w:val="001672D2"/>
    <w:rsid w:val="001728A4"/>
    <w:rsid w:val="00174506"/>
    <w:rsid w:val="00174877"/>
    <w:rsid w:val="00176A84"/>
    <w:rsid w:val="001775E3"/>
    <w:rsid w:val="001804DE"/>
    <w:rsid w:val="00180966"/>
    <w:rsid w:val="00181295"/>
    <w:rsid w:val="00184647"/>
    <w:rsid w:val="00186580"/>
    <w:rsid w:val="00191116"/>
    <w:rsid w:val="00192CDE"/>
    <w:rsid w:val="00193BB8"/>
    <w:rsid w:val="001942CE"/>
    <w:rsid w:val="00197B09"/>
    <w:rsid w:val="001A1605"/>
    <w:rsid w:val="001A26ED"/>
    <w:rsid w:val="001A412F"/>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1C3"/>
    <w:rsid w:val="00236800"/>
    <w:rsid w:val="00240E03"/>
    <w:rsid w:val="00243001"/>
    <w:rsid w:val="00244C37"/>
    <w:rsid w:val="00252A1A"/>
    <w:rsid w:val="002530C4"/>
    <w:rsid w:val="00255650"/>
    <w:rsid w:val="00260225"/>
    <w:rsid w:val="00262576"/>
    <w:rsid w:val="0026257D"/>
    <w:rsid w:val="0026386A"/>
    <w:rsid w:val="00264E85"/>
    <w:rsid w:val="00265168"/>
    <w:rsid w:val="00274E2A"/>
    <w:rsid w:val="002752F6"/>
    <w:rsid w:val="00276B8B"/>
    <w:rsid w:val="00280D88"/>
    <w:rsid w:val="00281C1F"/>
    <w:rsid w:val="00286014"/>
    <w:rsid w:val="0029097A"/>
    <w:rsid w:val="00292FB0"/>
    <w:rsid w:val="002940D6"/>
    <w:rsid w:val="00294B64"/>
    <w:rsid w:val="002A0371"/>
    <w:rsid w:val="002A047F"/>
    <w:rsid w:val="002B26F2"/>
    <w:rsid w:val="002C0810"/>
    <w:rsid w:val="002C1886"/>
    <w:rsid w:val="002C2A62"/>
    <w:rsid w:val="002D1A70"/>
    <w:rsid w:val="002D1AA9"/>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27CED"/>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25D2"/>
    <w:rsid w:val="003D4D81"/>
    <w:rsid w:val="003D57F7"/>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1EC9"/>
    <w:rsid w:val="00414DA1"/>
    <w:rsid w:val="00415982"/>
    <w:rsid w:val="004210F9"/>
    <w:rsid w:val="00422B2D"/>
    <w:rsid w:val="00425489"/>
    <w:rsid w:val="004375A3"/>
    <w:rsid w:val="00443D56"/>
    <w:rsid w:val="00444CA0"/>
    <w:rsid w:val="004521C5"/>
    <w:rsid w:val="00453FC1"/>
    <w:rsid w:val="00454D40"/>
    <w:rsid w:val="0045589B"/>
    <w:rsid w:val="00456AE9"/>
    <w:rsid w:val="00456FD1"/>
    <w:rsid w:val="00464936"/>
    <w:rsid w:val="00471019"/>
    <w:rsid w:val="00471CA5"/>
    <w:rsid w:val="004746AD"/>
    <w:rsid w:val="004778AB"/>
    <w:rsid w:val="00485980"/>
    <w:rsid w:val="00486F36"/>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5ED0"/>
    <w:rsid w:val="004E75F2"/>
    <w:rsid w:val="004F208A"/>
    <w:rsid w:val="004F3369"/>
    <w:rsid w:val="004F43A5"/>
    <w:rsid w:val="004F6CCD"/>
    <w:rsid w:val="00514064"/>
    <w:rsid w:val="0052005C"/>
    <w:rsid w:val="00525EFB"/>
    <w:rsid w:val="00534066"/>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5E48"/>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6F27"/>
    <w:rsid w:val="00607E27"/>
    <w:rsid w:val="00612D58"/>
    <w:rsid w:val="006133A4"/>
    <w:rsid w:val="00614EC3"/>
    <w:rsid w:val="0062203D"/>
    <w:rsid w:val="00623149"/>
    <w:rsid w:val="00630096"/>
    <w:rsid w:val="006301B7"/>
    <w:rsid w:val="00630467"/>
    <w:rsid w:val="0063046C"/>
    <w:rsid w:val="00637EF0"/>
    <w:rsid w:val="006634C7"/>
    <w:rsid w:val="00664F9D"/>
    <w:rsid w:val="00671EB8"/>
    <w:rsid w:val="0067752E"/>
    <w:rsid w:val="00682E5C"/>
    <w:rsid w:val="00683799"/>
    <w:rsid w:val="006841A2"/>
    <w:rsid w:val="0069525E"/>
    <w:rsid w:val="00696B13"/>
    <w:rsid w:val="006A0DFA"/>
    <w:rsid w:val="006A1C81"/>
    <w:rsid w:val="006A3377"/>
    <w:rsid w:val="006B47B8"/>
    <w:rsid w:val="006B77E5"/>
    <w:rsid w:val="006C2805"/>
    <w:rsid w:val="006C28D0"/>
    <w:rsid w:val="006C4496"/>
    <w:rsid w:val="006C566E"/>
    <w:rsid w:val="006D15DC"/>
    <w:rsid w:val="006D223E"/>
    <w:rsid w:val="006D2CE3"/>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00EA"/>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11F"/>
    <w:rsid w:val="00787BF6"/>
    <w:rsid w:val="0079117D"/>
    <w:rsid w:val="00793630"/>
    <w:rsid w:val="007A45D8"/>
    <w:rsid w:val="007B0934"/>
    <w:rsid w:val="007B4C28"/>
    <w:rsid w:val="007B59C2"/>
    <w:rsid w:val="007B762B"/>
    <w:rsid w:val="007C6700"/>
    <w:rsid w:val="007D174A"/>
    <w:rsid w:val="007E3879"/>
    <w:rsid w:val="007E4DA1"/>
    <w:rsid w:val="007F0CEF"/>
    <w:rsid w:val="007F4167"/>
    <w:rsid w:val="007F6E79"/>
    <w:rsid w:val="00800115"/>
    <w:rsid w:val="00802893"/>
    <w:rsid w:val="00813070"/>
    <w:rsid w:val="00820C58"/>
    <w:rsid w:val="008245B8"/>
    <w:rsid w:val="0083483F"/>
    <w:rsid w:val="00841125"/>
    <w:rsid w:val="00847B25"/>
    <w:rsid w:val="00852829"/>
    <w:rsid w:val="00855090"/>
    <w:rsid w:val="00855857"/>
    <w:rsid w:val="00861839"/>
    <w:rsid w:val="00873A51"/>
    <w:rsid w:val="00873BA0"/>
    <w:rsid w:val="008753A1"/>
    <w:rsid w:val="00876025"/>
    <w:rsid w:val="00876197"/>
    <w:rsid w:val="00876538"/>
    <w:rsid w:val="008918EF"/>
    <w:rsid w:val="00895533"/>
    <w:rsid w:val="00895E38"/>
    <w:rsid w:val="008967E5"/>
    <w:rsid w:val="008A01C5"/>
    <w:rsid w:val="008A094B"/>
    <w:rsid w:val="008A10E3"/>
    <w:rsid w:val="008A2D74"/>
    <w:rsid w:val="008A4EEA"/>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5BEF"/>
    <w:rsid w:val="0092726F"/>
    <w:rsid w:val="009273B3"/>
    <w:rsid w:val="00930B68"/>
    <w:rsid w:val="00933500"/>
    <w:rsid w:val="00933E3C"/>
    <w:rsid w:val="00934942"/>
    <w:rsid w:val="00935809"/>
    <w:rsid w:val="00940644"/>
    <w:rsid w:val="00944360"/>
    <w:rsid w:val="009443C6"/>
    <w:rsid w:val="00947F2D"/>
    <w:rsid w:val="009513E1"/>
    <w:rsid w:val="00964711"/>
    <w:rsid w:val="009719D7"/>
    <w:rsid w:val="0098755E"/>
    <w:rsid w:val="00994A4A"/>
    <w:rsid w:val="009965E8"/>
    <w:rsid w:val="0099674C"/>
    <w:rsid w:val="00996AF9"/>
    <w:rsid w:val="009975C4"/>
    <w:rsid w:val="009A2653"/>
    <w:rsid w:val="009A6696"/>
    <w:rsid w:val="009A7024"/>
    <w:rsid w:val="009A7758"/>
    <w:rsid w:val="009B2739"/>
    <w:rsid w:val="009B319E"/>
    <w:rsid w:val="009B5509"/>
    <w:rsid w:val="009D172F"/>
    <w:rsid w:val="009D484F"/>
    <w:rsid w:val="009D4DCC"/>
    <w:rsid w:val="009E1EC6"/>
    <w:rsid w:val="009E2632"/>
    <w:rsid w:val="009E5FB0"/>
    <w:rsid w:val="009E6233"/>
    <w:rsid w:val="009F1896"/>
    <w:rsid w:val="009F2F38"/>
    <w:rsid w:val="009F6142"/>
    <w:rsid w:val="00A03B70"/>
    <w:rsid w:val="00A03DC5"/>
    <w:rsid w:val="00A045D5"/>
    <w:rsid w:val="00A12100"/>
    <w:rsid w:val="00A15079"/>
    <w:rsid w:val="00A200F5"/>
    <w:rsid w:val="00A2282F"/>
    <w:rsid w:val="00A22C90"/>
    <w:rsid w:val="00A256F9"/>
    <w:rsid w:val="00A3297D"/>
    <w:rsid w:val="00A33BCD"/>
    <w:rsid w:val="00A35DA2"/>
    <w:rsid w:val="00A3738A"/>
    <w:rsid w:val="00A43C44"/>
    <w:rsid w:val="00A457F0"/>
    <w:rsid w:val="00A46582"/>
    <w:rsid w:val="00A53D87"/>
    <w:rsid w:val="00A563B8"/>
    <w:rsid w:val="00A6253F"/>
    <w:rsid w:val="00A635BC"/>
    <w:rsid w:val="00A647D0"/>
    <w:rsid w:val="00A72A98"/>
    <w:rsid w:val="00A80E92"/>
    <w:rsid w:val="00A81AC7"/>
    <w:rsid w:val="00A82725"/>
    <w:rsid w:val="00A851BB"/>
    <w:rsid w:val="00A875D6"/>
    <w:rsid w:val="00A94BF3"/>
    <w:rsid w:val="00A95474"/>
    <w:rsid w:val="00AB2A45"/>
    <w:rsid w:val="00AB2D05"/>
    <w:rsid w:val="00AB441B"/>
    <w:rsid w:val="00AB442E"/>
    <w:rsid w:val="00AB58D1"/>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3427"/>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70FE"/>
    <w:rsid w:val="00C174B7"/>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95AC2"/>
    <w:rsid w:val="00CA32EC"/>
    <w:rsid w:val="00CB1071"/>
    <w:rsid w:val="00CB5B90"/>
    <w:rsid w:val="00CB76C3"/>
    <w:rsid w:val="00CC1212"/>
    <w:rsid w:val="00CC159F"/>
    <w:rsid w:val="00CC550A"/>
    <w:rsid w:val="00CC6C1A"/>
    <w:rsid w:val="00CD2C90"/>
    <w:rsid w:val="00CD53D0"/>
    <w:rsid w:val="00CE0012"/>
    <w:rsid w:val="00CE0C3F"/>
    <w:rsid w:val="00CE22B7"/>
    <w:rsid w:val="00CF32C5"/>
    <w:rsid w:val="00D01806"/>
    <w:rsid w:val="00D051F5"/>
    <w:rsid w:val="00D06D22"/>
    <w:rsid w:val="00D11E8A"/>
    <w:rsid w:val="00D15CF7"/>
    <w:rsid w:val="00D22AFC"/>
    <w:rsid w:val="00D265C8"/>
    <w:rsid w:val="00D335B1"/>
    <w:rsid w:val="00D42922"/>
    <w:rsid w:val="00D4399A"/>
    <w:rsid w:val="00D45FDF"/>
    <w:rsid w:val="00D466C6"/>
    <w:rsid w:val="00D47BAA"/>
    <w:rsid w:val="00D47CEC"/>
    <w:rsid w:val="00D60DB0"/>
    <w:rsid w:val="00D64ECC"/>
    <w:rsid w:val="00D66190"/>
    <w:rsid w:val="00D714FF"/>
    <w:rsid w:val="00D7383D"/>
    <w:rsid w:val="00D7471C"/>
    <w:rsid w:val="00D75864"/>
    <w:rsid w:val="00D75D11"/>
    <w:rsid w:val="00D83661"/>
    <w:rsid w:val="00D90500"/>
    <w:rsid w:val="00D94393"/>
    <w:rsid w:val="00D97BCA"/>
    <w:rsid w:val="00DA25E8"/>
    <w:rsid w:val="00DA2634"/>
    <w:rsid w:val="00DA3618"/>
    <w:rsid w:val="00DA5B07"/>
    <w:rsid w:val="00DA7512"/>
    <w:rsid w:val="00DB1A34"/>
    <w:rsid w:val="00DB2FDB"/>
    <w:rsid w:val="00DB5E0A"/>
    <w:rsid w:val="00DB5FE1"/>
    <w:rsid w:val="00DC30C1"/>
    <w:rsid w:val="00DD261B"/>
    <w:rsid w:val="00DD5A27"/>
    <w:rsid w:val="00DD5DC0"/>
    <w:rsid w:val="00DE0E29"/>
    <w:rsid w:val="00DE37C5"/>
    <w:rsid w:val="00DE538D"/>
    <w:rsid w:val="00DE5626"/>
    <w:rsid w:val="00DE653F"/>
    <w:rsid w:val="00DE734D"/>
    <w:rsid w:val="00DF3AE5"/>
    <w:rsid w:val="00DF6BB0"/>
    <w:rsid w:val="00DF78A8"/>
    <w:rsid w:val="00E0387B"/>
    <w:rsid w:val="00E0466E"/>
    <w:rsid w:val="00E0774C"/>
    <w:rsid w:val="00E10524"/>
    <w:rsid w:val="00E13B35"/>
    <w:rsid w:val="00E15E23"/>
    <w:rsid w:val="00E235D4"/>
    <w:rsid w:val="00E23F64"/>
    <w:rsid w:val="00E27DC6"/>
    <w:rsid w:val="00E30B55"/>
    <w:rsid w:val="00E31C33"/>
    <w:rsid w:val="00E31D57"/>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EF3A9F"/>
    <w:rsid w:val="00F012DF"/>
    <w:rsid w:val="00F06628"/>
    <w:rsid w:val="00F11BC9"/>
    <w:rsid w:val="00F14081"/>
    <w:rsid w:val="00F248A6"/>
    <w:rsid w:val="00F26769"/>
    <w:rsid w:val="00F300E7"/>
    <w:rsid w:val="00F303D0"/>
    <w:rsid w:val="00F3173D"/>
    <w:rsid w:val="00F3499E"/>
    <w:rsid w:val="00F35068"/>
    <w:rsid w:val="00F3707A"/>
    <w:rsid w:val="00F402FC"/>
    <w:rsid w:val="00F45AE5"/>
    <w:rsid w:val="00F46E13"/>
    <w:rsid w:val="00F5284A"/>
    <w:rsid w:val="00F53982"/>
    <w:rsid w:val="00F54918"/>
    <w:rsid w:val="00F56FB9"/>
    <w:rsid w:val="00F63642"/>
    <w:rsid w:val="00F642EF"/>
    <w:rsid w:val="00F64687"/>
    <w:rsid w:val="00F6718B"/>
    <w:rsid w:val="00F72262"/>
    <w:rsid w:val="00F80B8A"/>
    <w:rsid w:val="00F8141F"/>
    <w:rsid w:val="00F854BB"/>
    <w:rsid w:val="00F866C3"/>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3300553">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15941958">
      <w:bodyDiv w:val="1"/>
      <w:marLeft w:val="0"/>
      <w:marRight w:val="0"/>
      <w:marTop w:val="0"/>
      <w:marBottom w:val="0"/>
      <w:divBdr>
        <w:top w:val="none" w:sz="0" w:space="0" w:color="auto"/>
        <w:left w:val="none" w:sz="0" w:space="0" w:color="auto"/>
        <w:bottom w:val="none" w:sz="0" w:space="0" w:color="auto"/>
        <w:right w:val="none" w:sz="0" w:space="0" w:color="auto"/>
      </w:divBdr>
    </w:div>
    <w:div w:id="21937074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00232965">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27177017">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5255654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52077635">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17759351">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14543451">
      <w:bodyDiv w:val="1"/>
      <w:marLeft w:val="0"/>
      <w:marRight w:val="0"/>
      <w:marTop w:val="0"/>
      <w:marBottom w:val="0"/>
      <w:divBdr>
        <w:top w:val="none" w:sz="0" w:space="0" w:color="auto"/>
        <w:left w:val="none" w:sz="0" w:space="0" w:color="auto"/>
        <w:bottom w:val="none" w:sz="0" w:space="0" w:color="auto"/>
        <w:right w:val="none" w:sz="0" w:space="0" w:color="auto"/>
      </w:divBdr>
    </w:div>
    <w:div w:id="742870307">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55173675">
      <w:bodyDiv w:val="1"/>
      <w:marLeft w:val="0"/>
      <w:marRight w:val="0"/>
      <w:marTop w:val="0"/>
      <w:marBottom w:val="0"/>
      <w:divBdr>
        <w:top w:val="none" w:sz="0" w:space="0" w:color="auto"/>
        <w:left w:val="none" w:sz="0" w:space="0" w:color="auto"/>
        <w:bottom w:val="none" w:sz="0" w:space="0" w:color="auto"/>
        <w:right w:val="none" w:sz="0" w:space="0" w:color="auto"/>
      </w:divBdr>
    </w:div>
    <w:div w:id="774977320">
      <w:bodyDiv w:val="1"/>
      <w:marLeft w:val="0"/>
      <w:marRight w:val="0"/>
      <w:marTop w:val="0"/>
      <w:marBottom w:val="0"/>
      <w:divBdr>
        <w:top w:val="none" w:sz="0" w:space="0" w:color="auto"/>
        <w:left w:val="none" w:sz="0" w:space="0" w:color="auto"/>
        <w:bottom w:val="none" w:sz="0" w:space="0" w:color="auto"/>
        <w:right w:val="none" w:sz="0" w:space="0" w:color="auto"/>
      </w:divBdr>
    </w:div>
    <w:div w:id="820538895">
      <w:bodyDiv w:val="1"/>
      <w:marLeft w:val="0"/>
      <w:marRight w:val="0"/>
      <w:marTop w:val="0"/>
      <w:marBottom w:val="0"/>
      <w:divBdr>
        <w:top w:val="none" w:sz="0" w:space="0" w:color="auto"/>
        <w:left w:val="none" w:sz="0" w:space="0" w:color="auto"/>
        <w:bottom w:val="none" w:sz="0" w:space="0" w:color="auto"/>
        <w:right w:val="none" w:sz="0" w:space="0" w:color="auto"/>
      </w:divBdr>
    </w:div>
    <w:div w:id="83368696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995689063">
      <w:bodyDiv w:val="1"/>
      <w:marLeft w:val="0"/>
      <w:marRight w:val="0"/>
      <w:marTop w:val="0"/>
      <w:marBottom w:val="0"/>
      <w:divBdr>
        <w:top w:val="none" w:sz="0" w:space="0" w:color="auto"/>
        <w:left w:val="none" w:sz="0" w:space="0" w:color="auto"/>
        <w:bottom w:val="none" w:sz="0" w:space="0" w:color="auto"/>
        <w:right w:val="none" w:sz="0" w:space="0" w:color="auto"/>
      </w:divBdr>
    </w:div>
    <w:div w:id="997729987">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635180">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80007261">
      <w:bodyDiv w:val="1"/>
      <w:marLeft w:val="0"/>
      <w:marRight w:val="0"/>
      <w:marTop w:val="0"/>
      <w:marBottom w:val="0"/>
      <w:divBdr>
        <w:top w:val="none" w:sz="0" w:space="0" w:color="auto"/>
        <w:left w:val="none" w:sz="0" w:space="0" w:color="auto"/>
        <w:bottom w:val="none" w:sz="0" w:space="0" w:color="auto"/>
        <w:right w:val="none" w:sz="0" w:space="0" w:color="auto"/>
      </w:divBdr>
    </w:div>
    <w:div w:id="1197742189">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35362351">
      <w:bodyDiv w:val="1"/>
      <w:marLeft w:val="0"/>
      <w:marRight w:val="0"/>
      <w:marTop w:val="0"/>
      <w:marBottom w:val="0"/>
      <w:divBdr>
        <w:top w:val="none" w:sz="0" w:space="0" w:color="auto"/>
        <w:left w:val="none" w:sz="0" w:space="0" w:color="auto"/>
        <w:bottom w:val="none" w:sz="0" w:space="0" w:color="auto"/>
        <w:right w:val="none" w:sz="0" w:space="0" w:color="auto"/>
      </w:divBdr>
    </w:div>
    <w:div w:id="1236354998">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57325023">
      <w:bodyDiv w:val="1"/>
      <w:marLeft w:val="0"/>
      <w:marRight w:val="0"/>
      <w:marTop w:val="0"/>
      <w:marBottom w:val="0"/>
      <w:divBdr>
        <w:top w:val="none" w:sz="0" w:space="0" w:color="auto"/>
        <w:left w:val="none" w:sz="0" w:space="0" w:color="auto"/>
        <w:bottom w:val="none" w:sz="0" w:space="0" w:color="auto"/>
        <w:right w:val="none" w:sz="0" w:space="0" w:color="auto"/>
      </w:divBdr>
    </w:div>
    <w:div w:id="1262837563">
      <w:bodyDiv w:val="1"/>
      <w:marLeft w:val="0"/>
      <w:marRight w:val="0"/>
      <w:marTop w:val="0"/>
      <w:marBottom w:val="0"/>
      <w:divBdr>
        <w:top w:val="none" w:sz="0" w:space="0" w:color="auto"/>
        <w:left w:val="none" w:sz="0" w:space="0" w:color="auto"/>
        <w:bottom w:val="none" w:sz="0" w:space="0" w:color="auto"/>
        <w:right w:val="none" w:sz="0" w:space="0" w:color="auto"/>
      </w:divBdr>
    </w:div>
    <w:div w:id="1267082459">
      <w:bodyDiv w:val="1"/>
      <w:marLeft w:val="0"/>
      <w:marRight w:val="0"/>
      <w:marTop w:val="0"/>
      <w:marBottom w:val="0"/>
      <w:divBdr>
        <w:top w:val="none" w:sz="0" w:space="0" w:color="auto"/>
        <w:left w:val="none" w:sz="0" w:space="0" w:color="auto"/>
        <w:bottom w:val="none" w:sz="0" w:space="0" w:color="auto"/>
        <w:right w:val="none" w:sz="0" w:space="0" w:color="auto"/>
      </w:divBdr>
    </w:div>
    <w:div w:id="1281646460">
      <w:bodyDiv w:val="1"/>
      <w:marLeft w:val="0"/>
      <w:marRight w:val="0"/>
      <w:marTop w:val="0"/>
      <w:marBottom w:val="0"/>
      <w:divBdr>
        <w:top w:val="none" w:sz="0" w:space="0" w:color="auto"/>
        <w:left w:val="none" w:sz="0" w:space="0" w:color="auto"/>
        <w:bottom w:val="none" w:sz="0" w:space="0" w:color="auto"/>
        <w:right w:val="none" w:sz="0" w:space="0" w:color="auto"/>
      </w:divBdr>
    </w:div>
    <w:div w:id="1319574046">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143974">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07416668">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14416739">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3024115">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25924548">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2060953">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4191285">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16807322">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050301143">
      <w:bodyDiv w:val="1"/>
      <w:marLeft w:val="0"/>
      <w:marRight w:val="0"/>
      <w:marTop w:val="0"/>
      <w:marBottom w:val="0"/>
      <w:divBdr>
        <w:top w:val="none" w:sz="0" w:space="0" w:color="auto"/>
        <w:left w:val="none" w:sz="0" w:space="0" w:color="auto"/>
        <w:bottom w:val="none" w:sz="0" w:space="0" w:color="auto"/>
        <w:right w:val="none" w:sz="0" w:space="0" w:color="auto"/>
      </w:divBdr>
    </w:div>
    <w:div w:id="2125267161">
      <w:bodyDiv w:val="1"/>
      <w:marLeft w:val="0"/>
      <w:marRight w:val="0"/>
      <w:marTop w:val="0"/>
      <w:marBottom w:val="0"/>
      <w:divBdr>
        <w:top w:val="none" w:sz="0" w:space="0" w:color="auto"/>
        <w:left w:val="none" w:sz="0" w:space="0" w:color="auto"/>
        <w:bottom w:val="none" w:sz="0" w:space="0" w:color="auto"/>
        <w:right w:val="none" w:sz="0" w:space="0" w:color="auto"/>
      </w:divBdr>
    </w:div>
    <w:div w:id="2129079006">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4C69-D618-418B-B1E0-A89D93AF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72</cp:revision>
  <cp:lastPrinted>2020-03-23T11:25:00Z</cp:lastPrinted>
  <dcterms:created xsi:type="dcterms:W3CDTF">2025-10-07T12:00:00Z</dcterms:created>
  <dcterms:modified xsi:type="dcterms:W3CDTF">2026-06-29T05:55:00Z</dcterms:modified>
</cp:coreProperties>
</file>