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E2" w:rsidRDefault="00D940E2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F45027" w:rsidRDefault="00E077C3" w:rsidP="007E0ACF">
      <w:pPr>
        <w:pStyle w:val="3"/>
        <w:ind w:left="0"/>
        <w:rPr>
          <w:sz w:val="24"/>
          <w:szCs w:val="24"/>
        </w:rPr>
      </w:pPr>
      <w:r w:rsidRPr="0068687A">
        <w:rPr>
          <w:sz w:val="24"/>
          <w:szCs w:val="24"/>
        </w:rPr>
        <w:t>П</w:t>
      </w:r>
      <w:bookmarkStart w:id="0" w:name="_GoBack"/>
      <w:bookmarkEnd w:id="0"/>
      <w:r w:rsidRPr="00F45027">
        <w:rPr>
          <w:sz w:val="24"/>
          <w:szCs w:val="24"/>
        </w:rPr>
        <w:t>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F45027">
        <w:rPr>
          <w:sz w:val="24"/>
          <w:szCs w:val="24"/>
        </w:rPr>
        <w:t>Все документы</w:t>
      </w:r>
      <w:r w:rsidRPr="00F41A10">
        <w:rPr>
          <w:sz w:val="24"/>
          <w:szCs w:val="24"/>
        </w:rPr>
        <w:t xml:space="preserve"> (формы</w:t>
      </w:r>
      <w:r w:rsidRPr="000A0B64">
        <w:rPr>
          <w:sz w:val="24"/>
          <w:szCs w:val="24"/>
        </w:rPr>
        <w:t>, заполненные в соответствии с требованиями документации, а</w:t>
      </w:r>
      <w:r w:rsidRPr="00E077C3">
        <w:rPr>
          <w:sz w:val="24"/>
          <w:szCs w:val="24"/>
        </w:rPr>
        <w:t xml:space="preserve">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0A0B64"/>
    <w:rsid w:val="0068687A"/>
    <w:rsid w:val="00894329"/>
    <w:rsid w:val="009862FF"/>
    <w:rsid w:val="009915A1"/>
    <w:rsid w:val="00A8658C"/>
    <w:rsid w:val="00B32AAA"/>
    <w:rsid w:val="00D940E2"/>
    <w:rsid w:val="00E077C3"/>
    <w:rsid w:val="00EF6E94"/>
    <w:rsid w:val="00F41A10"/>
    <w:rsid w:val="00F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7</cp:revision>
  <dcterms:created xsi:type="dcterms:W3CDTF">2025-12-15T13:57:00Z</dcterms:created>
  <dcterms:modified xsi:type="dcterms:W3CDTF">2026-06-26T07:20:00Z</dcterms:modified>
</cp:coreProperties>
</file>