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>«УТВЕРЖДАЮ»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>И.о. Главного инженера ЯГРЭС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>ПАО «Якутскэнерго»</w:t>
      </w:r>
    </w:p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 xml:space="preserve">______________ Чалов Д.А.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/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</w:rPr>
        <w:t xml:space="preserve">Технические требования на </w:t>
      </w:r>
      <w:r>
        <w:rPr>
          <w:rFonts w:eastAsia="Calibri"/>
          <w:b/>
        </w:rPr>
        <w:t>МТР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</w:rPr>
        <w:t>л</w:t>
      </w:r>
      <w:r>
        <w:rPr>
          <w:rFonts w:eastAsia="Calibri"/>
          <w:b/>
        </w:rPr>
        <w:t>от № _______________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</w:rPr>
        <w:t xml:space="preserve">  </w:t>
      </w:r>
      <w:r>
        <w:rPr>
          <w:rFonts w:eastAsia="Calibri"/>
          <w:b/>
        </w:rPr>
        <w:t xml:space="preserve">ОКПД2 25.99.29.190 Поставка </w:t>
      </w:r>
      <w:r>
        <w:rPr>
          <w:rFonts w:eastAsia="Calibri"/>
          <w:b/>
        </w:rPr>
        <w:t>грузов балансировочных и крепежа для  АВР ГТУ-3 на Якутской ГРЭС в рамках исполнения производственной программы ремонтов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запасные части к котлам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ремонтной программы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074" w:type="dxa"/>
        <w:jc w:val="left"/>
        <w:tblInd w:w="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00"/>
        <w:gridCol w:w="4323"/>
        <w:gridCol w:w="1091"/>
        <w:gridCol w:w="790"/>
        <w:gridCol w:w="1568"/>
        <w:gridCol w:w="1701"/>
      </w:tblGrid>
      <w:tr>
        <w:trPr/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ЯГРЭС-1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Винт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25.99.29.190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Пластина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25.99.29.190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Первая часть груза балансировочного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25.99.29.190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Вторая часть груза балансировочного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25.99.29.190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ЯГРЭС-1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Винт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Пластина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Первая часть груза балансировочного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Вторая часть груза балансировочного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№1-3 Таблицы 3.1): </w:t>
      </w:r>
      <w:r>
        <w:rPr>
          <w:rFonts w:eastAsia="Calibri"/>
          <w:b/>
          <w:bCs/>
          <w:iCs/>
          <w:sz w:val="22"/>
          <w:szCs w:val="22"/>
        </w:rPr>
        <w:t>«г</w:t>
      </w:r>
      <w:r>
        <w:rPr>
          <w:rStyle w:val="Style8"/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рузы балансировочные и крепеж</w:t>
      </w:r>
      <w:r>
        <w:rPr>
          <w:rFonts w:eastAsia="Calibri"/>
          <w:b/>
          <w:bCs/>
          <w:i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«г</w:t>
      </w:r>
      <w:r>
        <w:rPr>
          <w:rStyle w:val="Style8"/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рузы балансировочные и крепеж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1822"/>
        <w:gridCol w:w="3859"/>
        <w:gridCol w:w="2046"/>
        <w:gridCol w:w="635"/>
        <w:gridCol w:w="604"/>
        <w:gridCol w:w="1207"/>
        <w:gridCol w:w="903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br w:type="column"/>
            </w: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ГОСТ</w:t>
            </w:r>
          </w:p>
        </w:tc>
        <w:tc>
          <w:tcPr>
            <w:tcW w:w="3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1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3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Винт</w:t>
            </w:r>
          </w:p>
        </w:tc>
        <w:tc>
          <w:tcPr>
            <w:tcW w:w="1822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5949-2018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18968-73</w:t>
            </w:r>
          </w:p>
        </w:tc>
        <w:tc>
          <w:tcPr>
            <w:tcW w:w="38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Сталь 15Х11МФ-Ш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Пластина</w:t>
            </w: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20072-74</w:t>
            </w:r>
          </w:p>
        </w:tc>
        <w:tc>
          <w:tcPr>
            <w:tcW w:w="38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Сталь 25Х1МФ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ТУ 14-1-552-72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Позиция 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Первая часть груза балансировочного</w:t>
            </w: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Calibri" w:cs="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7350-77</w:t>
            </w:r>
          </w:p>
        </w:tc>
        <w:tc>
          <w:tcPr>
            <w:tcW w:w="38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Сталь 12Х13-М5Г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Позиция 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Вторая часть груза балансировочного</w:t>
            </w: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Calibri" w:cs="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7350-77</w:t>
            </w:r>
          </w:p>
        </w:tc>
        <w:tc>
          <w:tcPr>
            <w:tcW w:w="38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Сталь 12Х13-М5Г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>«СОГЛАСОВАНО»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 xml:space="preserve">Заместитель Главного инженера по ремонтам 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>______________ Кривой В.В.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>«___» ________________2026г.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>И.о. Начальника ОППР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>______________ Ефремов А.С.</w:t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/>
        <w:t>«___» ________________2026г.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Application>AlterOffice/3.4.0.9$Linux_X86_64 LibreOffice_project/b8daf9e823b1a5463a2f48435ddc2e8696e7d4fc</Application>
  <AppVersion>15.0000</AppVersion>
  <Pages>10</Pages>
  <Words>1058</Words>
  <Characters>7236</Characters>
  <CharactersWithSpaces>8061</CharactersWithSpaces>
  <Paragraphs>240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lvovaiyu</cp:lastModifiedBy>
  <cp:lastPrinted>2026-06-02T10:45:23Z</cp:lastPrinted>
  <dcterms:modified xsi:type="dcterms:W3CDTF">2026-06-02T10:45:40Z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