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b w:val="false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«Поставка трансформаторов тока 330 кВ (3 шт.) </w:t>
      </w:r>
      <w:r>
        <w:rPr>
          <w:rFonts w:eastAsia="Calibri"/>
          <w:b/>
          <w:sz w:val="24"/>
          <w:szCs w:val="24"/>
          <w:lang w:eastAsia="x-none"/>
        </w:rPr>
        <w:t>ст.№ ТТ-330-АТ</w:t>
      </w:r>
      <w:r>
        <w:rPr>
          <w:rFonts w:eastAsia="Calibri"/>
          <w:b/>
          <w:sz w:val="26"/>
          <w:szCs w:val="26"/>
        </w:rPr>
        <w:t xml:space="preserve"> Ирганайской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  <w:lang w:val="en-US"/>
        </w:rPr>
      </w:pPr>
      <w:r>
        <w:rPr>
          <w:rFonts w:eastAsia="Calibri"/>
          <w:b/>
          <w:i/>
          <w:sz w:val="26"/>
          <w:szCs w:val="26"/>
          <w:lang w:val="en-US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6001131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1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1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1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1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19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20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21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1.2 Перечень и объем закупаемых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24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2.2 Требования по срокам оказания сопутствующих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27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29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30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0011331">
            <w:r>
              <w:rPr>
                <w:webHidden/>
                <w:rStyle w:val="Style14"/>
                <w:iCs/>
                <w:vanish w:val="false"/>
              </w:rPr>
              <w:t>4.1.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В рамках реализации договора сметную документацию в обоснование стоимости сопутствующих услуг (шефмонтаж, шефналадка) необходимо составлять и оформлять в соответствии с требованиями к оформлению и составлению сметной документации на оказание услуг по шефмонтажу и шефналадке, указанными в Приложении № 2 к настоящим Техническим требованиям».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6001133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_Toc160011332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51339692"/>
      <w:bookmarkStart w:id="3" w:name="_Toc160011314"/>
      <w:r>
        <w:rPr>
          <w:lang w:val="ru-RU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bookmarkStart w:id="4" w:name="_Toc160011315"/>
      <w:bookmarkStart w:id="5" w:name="_Toc46743505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9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67"/>
        <w:gridCol w:w="346"/>
        <w:gridCol w:w="8498"/>
      </w:tblGrid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трансформатор тока 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НТД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приемо-сдаточная документация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ПСИ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Приемо-сдаточные испытания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ОРУ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ПНР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0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</w:t>
            </w:r>
          </w:p>
        </w:tc>
        <w:tc>
          <w:tcPr>
            <w:tcW w:w="3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</w:p>
        </w:tc>
        <w:tc>
          <w:tcPr>
            <w:tcW w:w="849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Исполнительная документация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160011316"/>
      <w:r>
        <w:rPr/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  <w:lang w:eastAsia="x-none"/>
        </w:rPr>
        <w:t xml:space="preserve">Трансформатор тока 330 кВ фазы </w:t>
      </w: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  <w:lang w:eastAsia="x-none"/>
        </w:rPr>
        <w:t>А,В,С</w:t>
      </w:r>
      <w:r>
        <w:rPr>
          <w:rFonts w:eastAsia="Calibri"/>
          <w:sz w:val="24"/>
          <w:szCs w:val="24"/>
          <w:lang w:eastAsia="x-none"/>
        </w:rPr>
        <w:t>»</w:t>
      </w:r>
      <w:r>
        <w:rPr>
          <w:sz w:val="24"/>
          <w:szCs w:val="24"/>
          <w:lang w:eastAsia="x-none"/>
        </w:rPr>
        <w:t xml:space="preserve"> ст.</w:t>
      </w:r>
      <w:r>
        <w:rPr>
          <w:sz w:val="24"/>
          <w:szCs w:val="24"/>
          <w:lang w:eastAsia="x-none"/>
        </w:rPr>
        <w:t>№</w:t>
      </w:r>
      <w:r>
        <w:rPr>
          <w:sz w:val="24"/>
          <w:szCs w:val="24"/>
          <w:lang w:eastAsia="x-none"/>
        </w:rPr>
        <w:t xml:space="preserve"> ТТ-330-АТ Ирганайской ГЭС</w:t>
      </w:r>
      <w:r>
        <w:rPr>
          <w:rFonts w:eastAsia="Calibri"/>
          <w:sz w:val="24"/>
          <w:szCs w:val="24"/>
          <w:lang w:eastAsia="x-none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160011317"/>
      <w:bookmarkStart w:id="8" w:name="_Toc46743507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  <w:r>
        <w:rPr/>
        <w:t xml:space="preserve">  </w:t>
      </w:r>
      <w:r>
        <w:rPr>
          <w:sz w:val="24"/>
          <w:szCs w:val="24"/>
          <w:lang w:eastAsia="x-none"/>
        </w:rPr>
        <w:t>ст.№ ТТ-330-АТ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Трансформаторы тока закупаются для его последующей работы в качестве передачи сигнала измерительной информации средствам измерений и устройством защиты и управления в ОРУ на номинальное напряжение 330 кВ.   </w:t>
      </w:r>
    </w:p>
    <w:p>
      <w:pPr>
        <w:pStyle w:val="Heading4"/>
        <w:numPr>
          <w:ilvl w:val="1"/>
          <w:numId w:val="3"/>
        </w:numPr>
        <w:rPr/>
      </w:pPr>
      <w:bookmarkStart w:id="9" w:name="_Toc160011318"/>
      <w:bookmarkStart w:id="10" w:name="_Toc46743508"/>
      <w:r>
        <w:rPr>
          <w:b w:val="false"/>
        </w:rPr>
        <w:t>Существующ</w:t>
      </w:r>
      <w:r>
        <w:rPr>
          <w:b w:val="false"/>
          <w:bCs w:val="false"/>
        </w:rPr>
        <w:t>ее положение</w:t>
      </w:r>
      <w:bookmarkEnd w:id="9"/>
      <w:bookmarkEnd w:id="10"/>
      <w:r>
        <w:rPr>
          <w:b w:val="false"/>
          <w:bCs w:val="false"/>
          <w:lang w:val="ru-RU"/>
        </w:rPr>
        <w:t xml:space="preserve"> 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В рамках проекта реконструкции 1 очереди Ирганайской ГЭС предусматривается разделение подключения блоков №1 (Г-1+Т1) и №2 (Г-2+Т2) к сборным шинам 330 кВ, путем переключения блока «генератор-трансформатор» №o1 со 2 СШ 330 кВ на 1 СШ 330 кВ ОРУ 330 кВ Ирганайской ГЭС. Блок №2 остается подключенным ко 2 СШ 330 кВ. При этом схема электрических соединений ОРУ 330 кВ Ирганайской ГЭС будет преобразована в схему «Четырехугольник».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Устройства РЗА ВЛ 330 кВ Ирганайская ГЭС-Махачкала (ПДЭ-2001, 2002, 2003, 2004, 2005), защиты 1 СШ 330 кВ и 2 СШ 330 кВ ПДЭ-2006 изготовлены в 1992 году, введены в эксплуатацию в 1998г.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Терминалы защит АТ, трансформаторов блока Т1 и Т2 современные и не требует замены. В существующую панель дифференциальной защиты ДЗТ АТ в рамках настоящего проекта необходимо завести цепи отключения АТ со стороны 330 кВ от первого и второго комплектов вновь устанавливаемого ДЗО 330 кВ АТ. Также требуется выполнить переподключение токовых цепей ДЗТ АТ к вновь устанавливаемым выносным трансформаторам тока на стороне ВН АТ. Дополнительные трансформаторы тока устанавливаются в целях обеспечения правильной работы </w:t>
      </w:r>
      <w:r>
        <w:rPr>
          <w:sz w:val="24"/>
          <w:szCs w:val="24"/>
          <w:lang w:val="ru-RU"/>
        </w:rPr>
        <w:t>релейной защиты при коротких замыканиях, сопровождающихся насыщением трансформатора тока.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Параметры вновь устанавливаемых трансформаторов тока определены расчетами времени до насыщения трансформаторов тока</w:t>
      </w:r>
    </w:p>
    <w:p>
      <w:pPr>
        <w:pStyle w:val="BodyText"/>
        <w:widowControl/>
        <w:suppressAutoHyphens w:val="true"/>
        <w:bidi w:val="0"/>
        <w:spacing w:before="0" w:after="12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 времени насыщения проведен в соответствии с ГОСТ Р 58669-2019 «Единая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защиты. Методические указания по определению времени до насыщения при коротких замыканиях».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ind w:firstLine="426"/>
        <w:jc w:val="both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Toc51339693"/>
      <w:bookmarkStart w:id="12" w:name="_Toc160011319"/>
      <w:bookmarkStart w:id="13" w:name="_Toc50125126"/>
      <w:bookmarkStart w:id="14" w:name="_Toc46743510"/>
      <w:bookmarkEnd w:id="13"/>
      <w:bookmarkEnd w:id="14"/>
      <w:r>
        <w:rPr>
          <w:iCs/>
        </w:rPr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rPr/>
      </w:pPr>
      <w:bookmarkStart w:id="15" w:name="_Toc16001132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Toc160011321"/>
      <w:r>
        <w:rPr>
          <w:lang w:val="ru-RU"/>
        </w:rPr>
        <w:t>Перечень и объем закупаемой продукции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160011322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7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4"/>
        <w:gridCol w:w="4712"/>
        <w:gridCol w:w="2272"/>
        <w:gridCol w:w="1983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Трансформатор тока 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№2 к настоящим Техническим требованиям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600113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1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0"/>
        <w:gridCol w:w="212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Шефмонтаж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0" w:name="_Toc160011324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2" w:name="_Toc160011325"/>
      <w:bookmarkStart w:id="23" w:name="_Toc51339697"/>
      <w:bookmarkStart w:id="24" w:name="_Toc5012512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Трансформатор тока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 даты подписания договора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календарных 90 дней с даты подписания договора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7" w:name="_Toc160011326"/>
      <w:bookmarkStart w:id="28" w:name="_Toc54785622"/>
      <w:bookmarkStart w:id="29" w:name="_Toc46743510_Копия_1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bookmarkEnd w:id="27"/>
      <w:bookmarkEnd w:id="2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4"/>
        <w:gridCol w:w="2132"/>
        <w:gridCol w:w="2268"/>
        <w:gridCol w:w="2693"/>
        <w:gridCol w:w="1701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Шефмонтаж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завершения поставки оборудования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согласованным календарным сетевым графиком, но не позднее 90 календарных дней с момента окончания срока поставки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0" w:name="_Toc51339698"/>
      <w:bookmarkStart w:id="31" w:name="_Toc160011327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продукции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3" w:name="_Toc16001132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3"/>
      <w:r>
        <w:rPr>
          <w:sz w:val="24"/>
          <w:szCs w:val="24"/>
        </w:rPr>
        <w:t xml:space="preserve"> </w:t>
      </w:r>
      <w:bookmarkEnd w:id="30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2411"/>
        <w:gridCol w:w="4536"/>
        <w:gridCol w:w="2551"/>
        <w:gridCol w:w="2694"/>
        <w:gridCol w:w="2267"/>
      </w:tblGrid>
      <w:tr>
        <w:trPr/>
        <w:tc>
          <w:tcPr>
            <w:tcW w:w="8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представлены в Приложении №2 к настоящим Техническим требованиям</w:t>
            </w:r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Вес (с защитным кожухом)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Вес – не более 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 кг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весу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Климатические исполнение и категория размещения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ГОСТ 15150-69 п 2. Климатические исполнения и категории изделий (таблица 1) - «О1»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Высота установки над уровнем моря, м, не более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1000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Сейсмостойкость, баллов по шкале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MSK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Место поставки 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Республика Дагестан, Унцукульский район, Ирганайская ГЭС, в 70 км от г. Махачкала.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Условия хранения и транспортирования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ГОСТ 15150-69 п .10. Условия хранения и транспортирования изделий в части воздействия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климатических факторов внешней среды (таблица 13) - «ОЖ4»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Требования к метрологическому обеспечению;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Трансформатор тока как средство измерений должен подвергаться периодическим поверкам государственной метрологической службой в соответствии с ГОСТ 8.217-2003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51" w:hRule="atLeast"/>
        </w:trPr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оборудование и все поставленные запасные части должен составлять не менее 60 месяцев с даты ввода оборудования в эксплуатацию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(подписания Акта приемки)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Предложение по сроку гарантии на оборудование и запасные части 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 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оборудованием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технические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товарную накладную унифицированной формы ТОРГ-12 в 2 экз.;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  <w:t>протоколы заводских испытаний.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Срок службы 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30 лет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ремонтов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 весь срок эксплуатации разборка или ремонт трансформатора тока не допускается. 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периодичности выполнения и объему технического обслуживания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Периодичность и объем ТО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Периодическая очистка поверхности изолятора от загрязнений (при необходимости);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Осмотр и, при необходимости, протяжку болтовых контактных соединений;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32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Проверка</w:t>
            </w:r>
            <w:r>
              <w:rPr>
                <w:rFonts w:cs="Times New Roman"/>
                <w:kern w:val="0"/>
                <w:lang w:val="en-US" w:eastAsia="ru-RU" w:bidi="ar-SA"/>
              </w:rPr>
              <w:t xml:space="preserve"> состояния заземлений.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качеству оказанию услуг по шефмонтажу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Оказание услуг по шефмонтажу в соответствии с ГОСТ Р 56203-2014. Национальный стандарт Российской Федерации. Оборудование энергетическое тепло- и гидромеханическое. Шефмонтаж и шефналадка. Общие требования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предоставлению при заключении договора или на этапе его исполнения копии свидетельства производителя, гарантирующего готовность завода-изготовителя осуществить поставку оборудования на условиях и в срок согласно условиям заключаемого по результатам закупки договора между Поставщиком и Заказчиком;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письмо-подтверждение заводов-изготовителей о согласии на изготовление оборудования с указанием конкретных сроков изготовления и предлагаемых гарантийных сроков.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при заключении договора или на этапе его исполнения копии соглашения о шефмонтаже Поставщика с производителями монтируемого оборудования либо предоставлению списка аккредитованных этими производителями специалистов Поставщика, имеющих право на монтаж оборудования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Гарантированное участие Поставщика при выполнении строительно-монтажных работ. Соответствие установленному требованию подтверждается путем представления Участниками закупки в составе заявки гарантийного письма о готовности выполнения шеф-услуг при выполнении строительно-монтажных работ.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в части ограничения по привлечению субподрядных организаций (указать свойства, которыми должна обладать или не обладать субподрядная организация, например: наличие лицензий, отсутствие налоговых задолженностей и т.п.)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Поставщик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наличию (привлечению) сервисного центра на территории РФ (собственного или привлеченного)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Обязательно.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установленному требованию подтверждается путем представления Участниками закупки в составе заявки гарантийного письма с приложением копии сертификатов выданным производителем оборудования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происхождению поставляемой продукции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Поставляемая продукция должна быть российского происхождения – должна быть включена в реестры, предусмотренные пунктом 2 постановления Правительства Российской Федерации «О минимальной доле закупок товаров российского происхождения» от 03 декабря 2020 г. № 2013, а именно: </w:t>
              <w:br/>
              <w:t xml:space="preserve">1) реестр промышленной продукции, произведенной на территории Российской Федерации;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2)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3) единый реестр российской радиоэлектронной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Реестры (1) и (2) предусмотрены постановлением Правительства Российской Федерации от 30 апреля 2020 г.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услуг, оказываемых иностранными лицами, для целей осуществления закупок для нужд обороны страны и безопасности государства»;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Реестр (3) предусмотрен постановлением Правительства Российской Федерации от 10 июля 2019 г.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Федерации») 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Наличие деклараций соответсвия ГОСТ 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В соответствии с: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-  Федеральным Законом от 27.12.2002 г. № 184-ФЗ «О техническом регулировании»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- 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Sylfaen"/>
                <w:color w:val="auto"/>
              </w:rPr>
            </w:pPr>
            <w:r>
              <w:rPr>
                <w:rFonts w:eastAsia="Sylfaen" w:cs="Times New Roman"/>
                <w:color w:val="auto"/>
                <w:kern w:val="0"/>
                <w:lang w:val="ru-RU" w:eastAsia="ru-RU" w:bidi="ar-SA"/>
              </w:rPr>
              <w:t>Трансформатор тока должен иметь декларацию о соответствии: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Sylfaen"/>
                <w:color w:val="auto"/>
              </w:rPr>
            </w:pPr>
            <w:r>
              <w:rPr>
                <w:rFonts w:eastAsia="Sylfaen" w:cs="Times New Roman"/>
                <w:color w:val="auto"/>
                <w:kern w:val="0"/>
                <w:lang w:val="ru-RU" w:eastAsia="ru-RU" w:bidi="ar-SA"/>
              </w:rPr>
              <w:t xml:space="preserve">- трансформаторы тока - </w:t>
            </w: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о соответствии</w:t>
            </w:r>
            <w:r>
              <w:rPr>
                <w:rFonts w:eastAsia="Sylfaen" w:cs="Times New Roman"/>
                <w:color w:val="auto"/>
                <w:kern w:val="0"/>
                <w:lang w:val="ru-RU" w:eastAsia="ru-RU" w:bidi="ar-SA"/>
              </w:rPr>
              <w:t xml:space="preserve"> ГОСТ 7746-2015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 xml:space="preserve">В составе заявки Участник должен представить регистрационный номер декларации о соответствии или копии декларации о соответствии. 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5">
              <w:r>
                <w:rPr>
                  <w:rStyle w:val="Hyperlink"/>
                  <w:rFonts w:cs="Times New Roman"/>
                  <w:color w:val="auto"/>
                  <w:kern w:val="0"/>
                  <w:lang w:val="ru-RU" w:eastAsia="ru-RU" w:bidi="ar-SA"/>
                </w:rPr>
                <w:t>https://fsa.gov.ru/</w:t>
              </w:r>
            </w:hyperlink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 xml:space="preserve"> (требование п.6 ст.24 ФЗ-184).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Sylfaen"/>
                <w:color w:val="auto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Декларация о соответствии, должна иметь статус действующего документа и удовлетворять требованиям ГОСТ Р 56532-2015.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актуальных метрологических документов на поставляемые средства измерений (свидетельство о поверке или заводские паспорта с отметками о проведении поверки)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технической документации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В составе заявки Участник должен представить: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 габаритный чертеж</w:t>
            </w:r>
          </w:p>
          <w:p>
            <w:pPr>
              <w:pStyle w:val="HEADERTEXT"/>
              <w:widowControl w:val="false"/>
              <w:suppressAutoHyphens w:val="true"/>
              <w:spacing w:before="0" w:after="0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  <w:t>- инструкцию по эксплуатации и монтажу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правильной работы релейной защиты при коротких замыканиях, сопровождающихся насыщением трансформатора тока.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 исполнении п.28 Приказа Минэнерго России от 13.07.2020 № 556 «Об утверждении Правил создания (модернизации) комплексов и устройств РЗА» трансформатор тока должен соответствовать ГОСТ Р 58669-2019 Национальный стандарт РФ.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защиты. Методические указания по определению времени до насыщения при коротких замыканиях.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160011329"/>
      <w:bookmarkStart w:id="35" w:name="_Toc53393312"/>
      <w:r>
        <w:rPr>
          <w:lang w:val="ru-RU"/>
        </w:rPr>
        <w:t>Требования к документации по ценообразованию</w:t>
      </w:r>
      <w:bookmarkEnd w:id="35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1"/>
          <w:numId w:val="12"/>
        </w:numPr>
        <w:ind w:left="1276" w:right="-2" w:hanging="567"/>
        <w:jc w:val="both"/>
        <w:rPr/>
      </w:pPr>
      <w:bookmarkStart w:id="36" w:name="_Hlk67308465"/>
      <w:r>
        <w:rPr/>
        <w:t xml:space="preserve">В обоснование стоимости своей заявки Участник предоставить Коммерческое предложение по форме </w:t>
      </w:r>
      <w:bookmarkStart w:id="37" w:name="_Hlk88327450"/>
      <w:r>
        <w:rPr/>
        <w:t>(с учетом прилагаемой к ней инструкции по заполнению)</w:t>
      </w:r>
      <w:bookmarkEnd w:id="37"/>
      <w:r>
        <w:rPr/>
        <w:t>, приведенной в Документации о закупке</w:t>
      </w:r>
      <w:bookmarkEnd w:id="36"/>
      <w:r>
        <w:rPr/>
        <w:t>, с приложением информационной справки о стоимости сопутствующих услуг по шефмонтажу, шефналадке в произвольной форме.</w:t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2"/>
        </w:numPr>
        <w:ind w:left="1418" w:hanging="720"/>
        <w:jc w:val="both"/>
        <w:rPr/>
      </w:pPr>
      <w:r>
        <w:rPr/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2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2"/>
        </w:numPr>
        <w:ind w:left="1276" w:right="-2" w:hanging="567"/>
        <w:jc w:val="both"/>
        <w:rPr/>
      </w:pPr>
      <w:r>
        <w:rPr/>
        <w:t>Отразить стоимость поставляемой продукции с учетом затрат на изготовление, транспортировку и поставку основного оборудования, приемо-сдаточных испытаний, погрузки и транспортировки, разгрузки и складирования на Ирганайской ГЭС.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ind w:left="1276" w:right="-2" w:hanging="0"/>
        <w:jc w:val="both"/>
        <w:rPr/>
      </w:pPr>
      <w:r>
        <w:rPr/>
      </w:r>
    </w:p>
    <w:p>
      <w:pPr>
        <w:pStyle w:val="ListParagraph"/>
        <w:numPr>
          <w:ilvl w:val="1"/>
          <w:numId w:val="12"/>
        </w:numPr>
        <w:ind w:left="1276" w:right="-2" w:hanging="567"/>
        <w:jc w:val="both"/>
        <w:rPr>
          <w:bCs/>
        </w:rPr>
      </w:pPr>
      <w:r>
        <w:rPr/>
        <w:t>Разработка расчета стоимости услуг (шеф-монтажных и шеф-наладочных работ) осуществляется при исполнении договора в соответствии с договорными</w:t>
      </w:r>
      <w:r>
        <w:rPr>
          <w:bCs/>
        </w:rPr>
        <w:t xml:space="preserve"> условиями и приложением №2 к настоящим Техническим требованиям «Требования к оформлению и составлению сметной документации</w:t>
      </w:r>
      <w:r>
        <w:rPr/>
        <w:t>».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lang w:val="ru-RU"/>
        </w:rPr>
      </w:pPr>
      <w:r>
        <w:rPr>
          <w:iCs/>
          <w:lang w:val="ru-RU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Toc160011330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8"/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bookmarkStart w:id="39" w:name="_Toc160011331"/>
      <w:r>
        <w:rPr>
          <w:b w:val="false"/>
        </w:rPr>
        <w:t xml:space="preserve">В рамках реализации договора сметную документацию в обоснование стоимости сопутствующих услуг (шефмонтаж, шефналадка) необходимо составлять и оформлять в соответствии с требованиями к оформлению и составлению сметной документации на оказание услуг по шефмонтажу и шефналадке, указанными в Приложении № </w:t>
      </w:r>
      <w:r>
        <w:rPr>
          <w:b w:val="false"/>
          <w:lang w:val="ru-RU"/>
        </w:rPr>
        <w:t>2</w:t>
      </w:r>
      <w:r>
        <w:rPr>
          <w:b w:val="false"/>
        </w:rPr>
        <w:t xml:space="preserve"> к настоящим Техническим требованиям».</w:t>
      </w:r>
      <w:bookmarkEnd w:id="39"/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0" w:name="_Toc51339699"/>
      <w:bookmarkStart w:id="41" w:name="_Toc46743519"/>
      <w:bookmarkStart w:id="42" w:name="_Toc160011332"/>
      <w:r>
        <w:rPr>
          <w:iCs/>
        </w:rPr>
        <w:t>Приложения</w:t>
      </w:r>
      <w:bookmarkEnd w:id="40"/>
      <w:bookmarkEnd w:id="41"/>
      <w:bookmarkEnd w:id="42"/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№1. Технические характеристики и объем поставки оборудования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№2. Требования к оформлению и составлению документации по ценообразованию.</w:t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i w:val="false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.HEADERTEXT"/>
    <w:basedOn w:val="Normal"/>
    <w:uiPriority w:val="99"/>
    <w:qFormat/>
    <w:rsid w:val="00fa4ccd"/>
    <w:pPr/>
    <w:rPr>
      <w:rFonts w:eastAsia="Calibri" w:eastAsiaTheme="minorHAnsi"/>
      <w:color w:val="2B4279"/>
      <w:sz w:val="24"/>
      <w:szCs w:val="24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fsa.gov.ru/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C803-DE1B-4AD6-AD3F-064CBBD7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AlterOffice/3.4.0.9$Linux_X86_64 LibreOffice_project/b8daf9e823b1a5463a2f48435ddc2e8696e7d4fc</Application>
  <AppVersion>15.0000</AppVersion>
  <Pages>16</Pages>
  <Words>2087</Words>
  <Characters>14299</Characters>
  <CharactersWithSpaces>16078</CharactersWithSpaces>
  <Paragraphs>326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2024-04-08T06:51:00Z</dcterms:created>
  <dc:creator>Быстров Олег Геннадьевич</dc:creator>
  <dc:description/>
  <dc:language>ru-RU</dc:language>
  <cp:lastModifiedBy>magomedovgz@corp.gidroogk.com</cp:lastModifiedBy>
  <cp:lastPrinted>2006-07-26T14:04:00Z</cp:lastPrinted>
  <dcterms:modified xsi:type="dcterms:W3CDTF">2026-02-16T16:07:24Z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