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7554584"/>
      <w:bookmarkStart w:id="1" w:name="_Toc141696704"/>
      <w:bookmarkStart w:id="2" w:name="_Toc139856287"/>
      <w:bookmarkStart w:id="3" w:name="_Toc137554584"/>
      <w:bookmarkStart w:id="4" w:name="_Toc141696704"/>
      <w:bookmarkStart w:id="5" w:name="_Toc139856287"/>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98562871"/>
      <w:bookmarkStart w:id="7" w:name="_Toc1416967041"/>
      <w:bookmarkStart w:id="8" w:name="_Toc1375545841"/>
      <w:bookmarkStart w:id="9" w:name="_Toc1398562871"/>
      <w:bookmarkStart w:id="10" w:name="_Toc1416967041"/>
      <w:bookmarkStart w:id="11" w:name="_Toc137554584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pPr>
      <w:r>
        <w:rPr>
          <w:rStyle w:val="Style8"/>
          <w:rFonts w:eastAsia="Calibri"/>
          <w:bCs/>
          <w:i w:val="false"/>
          <w:color w:val="C9211E"/>
          <w:sz w:val="26"/>
          <w:szCs w:val="26"/>
          <w:shd w:fill="auto" w:val="clear"/>
        </w:rPr>
        <w:t xml:space="preserve">  </w:t>
      </w: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ОКПД2 28.21.13.110 Поставка низкотемпературной лабораторной печи для нужд Волжского филиала АО «Гидроремонт-ВКК»</w:t>
      </w:r>
    </w:p>
    <w:p>
      <w:pPr>
        <w:pStyle w:val="Normal"/>
        <w:widowControl w:val="false"/>
        <w:tabs>
          <w:tab w:val="clear" w:pos="708"/>
          <w:tab w:val="left" w:pos="426" w:leader="none"/>
        </w:tabs>
        <w:spacing w:before="120" w:after="120"/>
        <w:jc w:val="center"/>
        <w:rPr/>
      </w:pP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Лот № 0029-ТПИР ОНМ-2026-ГРВКК-ВолФ</w:t>
      </w:r>
    </w:p>
    <w:p>
      <w:pPr>
        <w:pStyle w:val="Normal"/>
        <w:bidi w:val="0"/>
        <w:jc w:val="center"/>
        <w:rPr>
          <w:rStyle w:val="Style8"/>
          <w:rFonts w:ascii="Times New Roman" w:hAnsi="Times New Roman" w:eastAsia="Calibri" w:cs="Times New Roman"/>
          <w:b w:val="false"/>
          <w:bCs/>
          <w:i/>
          <w:i/>
          <w:iCs/>
          <w:strike w:val="false"/>
          <w:dstrike w:val="false"/>
          <w:outline w:val="false"/>
          <w:shadow w:val="false"/>
          <w:color w:val="C9211E"/>
          <w:sz w:val="24"/>
          <w:szCs w:val="24"/>
          <w:u w:val="none"/>
          <w:shd w:fill="auto" w:val="clear"/>
          <w:em w:val="none"/>
        </w:rPr>
      </w:pPr>
      <w:r>
        <w:rPr>
          <w:rFonts w:eastAsia="Calibri" w:cs="Times New Roman"/>
          <w:b w:val="false"/>
          <w:bCs/>
          <w:i/>
          <w:iCs/>
          <w:strike w:val="false"/>
          <w:dstrike w:val="false"/>
          <w:outline w:val="false"/>
          <w:shadow w:val="false"/>
          <w:color w:val="C9211E"/>
          <w:sz w:val="24"/>
          <w:szCs w:val="24"/>
          <w:u w:val="none"/>
          <w:shd w:fill="auto" w:val="clear"/>
          <w:em w:val="none"/>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numPr>
          <w:ilvl w:val="0"/>
          <w:numId w:val="3"/>
        </w:numPr>
        <w:ind w:left="357" w:hanging="357"/>
        <w:jc w:val="center"/>
        <w:rPr>
          <w:caps/>
          <w:lang w:val="ru-RU"/>
        </w:rPr>
      </w:pPr>
      <w:bookmarkStart w:id="12" w:name="_Toc51339692"/>
      <w:bookmarkStart w:id="13" w:name="_Toc184220610"/>
      <w:r>
        <w:rPr>
          <w:lang w:val="ru-RU"/>
        </w:rPr>
        <w:t>Общие сведения</w:t>
      </w:r>
      <w:bookmarkEnd w:id="12"/>
      <w:bookmarkEnd w:id="13"/>
    </w:p>
    <w:p>
      <w:pPr>
        <w:pStyle w:val="Heading4"/>
        <w:numPr>
          <w:ilvl w:val="1"/>
          <w:numId w:val="3"/>
        </w:numPr>
        <w:rPr/>
      </w:pPr>
      <w:bookmarkStart w:id="14" w:name="_Toc46743505"/>
      <w:bookmarkStart w:id="15" w:name="_Toc184220611"/>
      <w:r>
        <w:rPr/>
        <w:t>Обозначения и сокращения</w:t>
      </w:r>
      <w:bookmarkEnd w:id="14"/>
      <w:bookmarkEnd w:id="15"/>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УПД</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Универсальный передаточный документ</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ГОСТ</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Государственный общесоюзный стандарт</w:t>
            </w:r>
          </w:p>
        </w:tc>
      </w:tr>
    </w:tbl>
    <w:p>
      <w:pPr>
        <w:pStyle w:val="Heading4"/>
        <w:numPr>
          <w:ilvl w:val="1"/>
          <w:numId w:val="3"/>
        </w:numPr>
        <w:rPr/>
      </w:pPr>
      <w:bookmarkStart w:id="16" w:name="_Toc46743506"/>
      <w:bookmarkStart w:id="17" w:name="_Toc184220612"/>
      <w:r>
        <w:rPr/>
        <w:t>Наименование закупаемой продукции</w:t>
      </w:r>
      <w:bookmarkEnd w:id="16"/>
      <w:bookmarkEnd w:id="17"/>
    </w:p>
    <w:p>
      <w:pPr>
        <w:pStyle w:val="Normal"/>
        <w:widowControl w:val="false"/>
        <w:tabs>
          <w:tab w:val="clear" w:pos="708"/>
          <w:tab w:val="left" w:pos="426" w:leader="none"/>
        </w:tabs>
        <w:spacing w:before="120" w:after="120"/>
        <w:rPr/>
      </w:pPr>
      <w:r>
        <w:rPr>
          <w:rFonts w:eastAsia="Calibri"/>
          <w:sz w:val="24"/>
          <w:szCs w:val="24"/>
          <w:shd w:fill="FFFFFF" w:val="clear"/>
          <w:lang w:eastAsia="x-none"/>
        </w:rPr>
        <w:t>ОКПД2 28.21.13.110 Поставка низкотемпературной лабораторной печи для нужд Волжского филиала АО «Гидроремонт-ВКК» (далее — Продукция)</w:t>
      </w:r>
    </w:p>
    <w:p>
      <w:pPr>
        <w:pStyle w:val="Heading4"/>
        <w:numPr>
          <w:ilvl w:val="1"/>
          <w:numId w:val="3"/>
        </w:numPr>
        <w:spacing w:before="240" w:after="60"/>
        <w:ind w:left="431" w:hanging="431"/>
        <w:rPr/>
      </w:pPr>
      <w:bookmarkStart w:id="18" w:name="_Toc184220613"/>
      <w:bookmarkStart w:id="19" w:name="_Toc46743507"/>
      <w:r>
        <w:rPr/>
        <w:t xml:space="preserve">Цель </w:t>
      </w:r>
      <w:bookmarkEnd w:id="19"/>
      <w:r>
        <w:rPr>
          <w:lang w:val="ru-RU"/>
        </w:rPr>
        <w:t>использования закупаемой продукции:</w:t>
      </w:r>
      <w:bookmarkEnd w:id="18"/>
      <w:r>
        <w:rPr>
          <w:lang w:val="ru-RU"/>
        </w:rPr>
        <w:t xml:space="preserve"> </w:t>
      </w:r>
    </w:p>
    <w:p>
      <w:pPr>
        <w:pStyle w:val="Heading4"/>
        <w:spacing w:before="240" w:after="60"/>
        <w:ind w:left="0" w:hanging="0"/>
        <w:jc w:val="both"/>
        <w:rPr/>
      </w:pPr>
      <w:bookmarkStart w:id="20" w:name="_Toc184220614"/>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w:t>
      </w:r>
      <w:bookmarkEnd w:id="20"/>
      <w:r>
        <w:rPr>
          <w:rStyle w:val="Style8"/>
          <w:b w:val="false"/>
          <w:bCs w:val="false"/>
          <w:i w:val="false"/>
          <w:shd w:fill="auto" w:val="clear"/>
          <w:lang w:val="ru-RU"/>
        </w:rPr>
        <w:t>в целях исполнения инвестпрограммы 2026 года</w:t>
      </w:r>
      <w:r>
        <w:rPr>
          <w:rStyle w:val="Style8"/>
          <w:rFonts w:eastAsia="Calibri"/>
          <w:b w:val="false"/>
          <w:bCs w:val="false"/>
          <w:i w:val="false"/>
          <w:iCs w:val="false"/>
          <w:color w:val="000000"/>
          <w:sz w:val="24"/>
          <w:szCs w:val="24"/>
          <w:shd w:fill="auto" w:val="clear"/>
          <w:lang w:val="ru-RU" w:eastAsia="en-US"/>
        </w:rPr>
        <w:t>.</w:t>
      </w:r>
    </w:p>
    <w:p>
      <w:pPr>
        <w:pStyle w:val="Heading1"/>
        <w:keepLines/>
        <w:numPr>
          <w:ilvl w:val="0"/>
          <w:numId w:val="3"/>
        </w:numPr>
        <w:ind w:left="357" w:hanging="357"/>
        <w:jc w:val="center"/>
        <w:rPr>
          <w:iCs/>
          <w:caps/>
          <w:lang w:val="ru-RU"/>
        </w:rPr>
      </w:pPr>
      <w:bookmarkStart w:id="21" w:name="_Toc51339693"/>
      <w:bookmarkStart w:id="22" w:name="_Toc184220615"/>
      <w:bookmarkStart w:id="23" w:name="_Toc46743510"/>
      <w:bookmarkStart w:id="24" w:name="_Toc50125126"/>
      <w:bookmarkEnd w:id="23"/>
      <w:bookmarkEnd w:id="24"/>
      <w:r>
        <w:rPr>
          <w:iCs/>
        </w:rPr>
        <w:t>Требования к продукции</w:t>
      </w:r>
      <w:bookmarkEnd w:id="21"/>
      <w:bookmarkEnd w:id="22"/>
    </w:p>
    <w:p>
      <w:pPr>
        <w:pStyle w:val="Heading4"/>
        <w:numPr>
          <w:ilvl w:val="1"/>
          <w:numId w:val="3"/>
        </w:numPr>
        <w:rPr/>
      </w:pPr>
      <w:bookmarkStart w:id="25" w:name="_Toc184220616"/>
      <w:r>
        <w:rPr/>
        <w:t xml:space="preserve">Требования к объемам и срокам </w:t>
      </w:r>
      <w:r>
        <w:rPr>
          <w:lang w:val="ru-RU"/>
        </w:rPr>
        <w:t>поставки</w:t>
      </w:r>
      <w:bookmarkEnd w:id="25"/>
    </w:p>
    <w:p>
      <w:pPr>
        <w:pStyle w:val="Heading3"/>
        <w:numPr>
          <w:ilvl w:val="2"/>
          <w:numId w:val="3"/>
        </w:numPr>
        <w:rPr/>
      </w:pPr>
      <w:bookmarkStart w:id="26" w:name="_Toc184220617"/>
      <w:r>
        <w:rPr>
          <w:lang w:val="ru-RU"/>
        </w:rPr>
        <w:t>Перечень и объем закупаемой продукции</w:t>
      </w:r>
      <w:bookmarkEnd w:id="26"/>
    </w:p>
    <w:p>
      <w:pPr>
        <w:pStyle w:val="Heading1"/>
        <w:keepLines/>
        <w:tabs>
          <w:tab w:val="clear" w:pos="0"/>
        </w:tabs>
        <w:spacing w:before="240" w:after="60"/>
        <w:ind w:left="0" w:hanging="0"/>
        <w:rPr>
          <w:sz w:val="24"/>
          <w:szCs w:val="24"/>
          <w:lang w:val="ru-RU"/>
        </w:rPr>
      </w:pPr>
      <w:bookmarkStart w:id="27" w:name="_Toc184220618"/>
      <w:bookmarkStart w:id="28"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8"/>
      <w:r>
        <w:rPr>
          <w:sz w:val="24"/>
          <w:szCs w:val="24"/>
          <w:lang w:val="ru-RU"/>
        </w:rPr>
        <w:t>и объем закупаемой продукции</w:t>
      </w:r>
      <w:bookmarkEnd w:id="27"/>
    </w:p>
    <w:tbl>
      <w:tblPr>
        <w:tblW w:w="10004" w:type="dxa"/>
        <w:jc w:val="left"/>
        <w:tblInd w:w="-29" w:type="dxa"/>
        <w:tblLayout w:type="fixed"/>
        <w:tblCellMar>
          <w:top w:w="0" w:type="dxa"/>
          <w:left w:w="108" w:type="dxa"/>
          <w:bottom w:w="0" w:type="dxa"/>
          <w:right w:w="108" w:type="dxa"/>
        </w:tblCellMar>
        <w:tblLook w:val="0000" w:noHBand="0" w:noVBand="0" w:firstColumn="0" w:lastRow="0" w:lastColumn="0" w:firstRow="0"/>
      </w:tblPr>
      <w:tblGrid>
        <w:gridCol w:w="778"/>
        <w:gridCol w:w="7443"/>
        <w:gridCol w:w="893"/>
        <w:gridCol w:w="889"/>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744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74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7443" w:type="dxa"/>
            <w:tcBorders>
              <w:left w:val="single" w:sz="4" w:space="0" w:color="000000"/>
              <w:bottom w:val="single" w:sz="4" w:space="0" w:color="000000"/>
              <w:right w:val="single" w:sz="4" w:space="0" w:color="000000"/>
            </w:tcBorders>
          </w:tcPr>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eastAsia="x-none"/>
              </w:rPr>
              <w:t>Низкотемпературная лабораторная печь ШС 35/400-500-П  или эквивалент</w:t>
            </w:r>
          </w:p>
        </w:tc>
        <w:tc>
          <w:tcPr>
            <w:tcW w:w="893"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rPr>
              <w:t>шт</w:t>
            </w:r>
          </w:p>
        </w:tc>
        <w:tc>
          <w:tcPr>
            <w:tcW w:w="889"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sz w:val="24"/>
                <w:szCs w:val="24"/>
              </w:rPr>
            </w:pPr>
            <w:r>
              <w:rPr>
                <w:color w:val="000000"/>
                <w:sz w:val="24"/>
                <w:szCs w:val="24"/>
              </w:rPr>
              <w:t>1</w:t>
            </w:r>
          </w:p>
        </w:tc>
      </w:tr>
    </w:tbl>
    <w:p>
      <w:pPr>
        <w:pStyle w:val="Heading3"/>
        <w:numPr>
          <w:ilvl w:val="2"/>
          <w:numId w:val="3"/>
        </w:numPr>
        <w:rPr>
          <w:lang w:val="ru-RU"/>
        </w:rPr>
      </w:pPr>
      <w:bookmarkStart w:id="29" w:name="_Toc184220619"/>
      <w:bookmarkStart w:id="30" w:name="_Toc51339696"/>
      <w:bookmarkStart w:id="31" w:name="_Toc75446577"/>
      <w:bookmarkEnd w:id="31"/>
      <w:r>
        <w:rPr>
          <w:lang w:val="ru-RU"/>
        </w:rPr>
        <w:t xml:space="preserve">Требования </w:t>
      </w:r>
      <w:bookmarkEnd w:id="30"/>
      <w:r>
        <w:rPr>
          <w:lang w:val="ru-RU"/>
        </w:rPr>
        <w:t>к срокам поставки продукции и оказания сопутствующих услуг</w:t>
      </w:r>
      <w:bookmarkEnd w:id="29"/>
    </w:p>
    <w:p>
      <w:pPr>
        <w:pStyle w:val="Heading1"/>
        <w:keepLines/>
        <w:tabs>
          <w:tab w:val="clear" w:pos="0"/>
        </w:tabs>
        <w:spacing w:before="240" w:after="60"/>
        <w:ind w:left="0" w:hanging="0"/>
        <w:rPr>
          <w:sz w:val="24"/>
          <w:szCs w:val="24"/>
          <w:lang w:val="ru-RU"/>
        </w:rPr>
      </w:pPr>
      <w:bookmarkStart w:id="32" w:name="_Toc184220620"/>
      <w:bookmarkStart w:id="33" w:name="_Toc50125127"/>
      <w:bookmarkStart w:id="34" w:name="_Toc51339697"/>
      <w:bookmarkStart w:id="35" w:name="_Toc501251261"/>
      <w:bookmarkEnd w:id="35"/>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6" w:name="_Hlk50465284"/>
      <w:r>
        <w:rPr>
          <w:sz w:val="24"/>
          <w:szCs w:val="24"/>
        </w:rPr>
        <w:t xml:space="preserve">Требования по срокам </w:t>
      </w:r>
      <w:bookmarkEnd w:id="33"/>
      <w:bookmarkEnd w:id="34"/>
      <w:bookmarkEnd w:id="36"/>
      <w:r>
        <w:rPr>
          <w:sz w:val="24"/>
          <w:szCs w:val="24"/>
          <w:lang w:val="ru-RU"/>
        </w:rPr>
        <w:t>поставки продукции</w:t>
      </w:r>
      <w:bookmarkEnd w:id="32"/>
      <w:r>
        <w:rPr>
          <w:sz w:val="24"/>
          <w:szCs w:val="24"/>
          <w:lang w:val="ru-RU"/>
        </w:rPr>
        <w:t xml:space="preserve"> </w:t>
      </w:r>
    </w:p>
    <w:tbl>
      <w:tblPr>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7"/>
        <w:gridCol w:w="5060"/>
        <w:gridCol w:w="1765"/>
        <w:gridCol w:w="2467"/>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2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1.</w:t>
            </w:r>
          </w:p>
        </w:tc>
        <w:tc>
          <w:tcPr>
            <w:tcW w:w="5060" w:type="dxa"/>
            <w:tcBorders>
              <w:left w:val="single" w:sz="4" w:space="0" w:color="000000"/>
              <w:bottom w:val="single" w:sz="4" w:space="0" w:color="000000"/>
              <w:right w:val="single" w:sz="4" w:space="0" w:color="000000"/>
            </w:tcBorders>
            <w:shd w:color="auto" w:fill="auto" w:val="clear"/>
          </w:tcPr>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val="en-US" w:eastAsia="x-none"/>
              </w:rPr>
              <w:t>ОКПД2 28.21.13.110 Поставка низкотемпературной лабораторной печи для нужд Волжского филиала АО «Гидроремонт-ВКК»</w:t>
            </w:r>
          </w:p>
        </w:tc>
        <w:tc>
          <w:tcPr>
            <w:tcW w:w="176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2467" w:type="dxa"/>
            <w:tcBorders>
              <w:left w:val="single" w:sz="4" w:space="0" w:color="000000"/>
              <w:bottom w:val="single" w:sz="4" w:space="0" w:color="000000"/>
              <w:right w:val="single" w:sz="4" w:space="0" w:color="000000"/>
            </w:tcBorders>
            <w:vAlign w:val="center"/>
          </w:tcPr>
          <w:p>
            <w:pPr>
              <w:pStyle w:val="Normal"/>
              <w:widowControl w:val="false"/>
              <w:jc w:val="center"/>
              <w:rPr/>
            </w:pPr>
            <w:r>
              <w:rPr>
                <w:i w:val="false"/>
                <w:iCs w:val="false"/>
                <w:sz w:val="24"/>
                <w:szCs w:val="24"/>
              </w:rPr>
              <w:t xml:space="preserve">В течении </w:t>
            </w:r>
            <w:r>
              <w:rPr>
                <w:i w:val="false"/>
                <w:iCs w:val="false"/>
                <w:sz w:val="24"/>
                <w:szCs w:val="24"/>
              </w:rPr>
              <w:t>6</w:t>
            </w:r>
            <w:r>
              <w:rPr>
                <w:i w:val="false"/>
                <w:iCs w:val="false"/>
                <w:sz w:val="24"/>
                <w:szCs w:val="24"/>
              </w:rPr>
              <w:t>0 календарных дней с даты подписания договора</w:t>
            </w:r>
          </w:p>
        </w:tc>
      </w:tr>
    </w:tbl>
    <w:p>
      <w:pPr>
        <w:pStyle w:val="Heading4"/>
        <w:numPr>
          <w:ilvl w:val="1"/>
          <w:numId w:val="3"/>
        </w:numPr>
        <w:rPr/>
      </w:pPr>
      <w:bookmarkStart w:id="37" w:name="_Toc184220621"/>
      <w:bookmarkStart w:id="38" w:name="_Toc46743511"/>
      <w:bookmarkStart w:id="39" w:name="_Toc75446580"/>
      <w:bookmarkEnd w:id="39"/>
      <w:r>
        <w:rPr/>
        <w:t xml:space="preserve">Требования к </w:t>
      </w:r>
      <w:bookmarkEnd w:id="38"/>
      <w:r>
        <w:rPr>
          <w:lang w:val="ru-RU"/>
        </w:rPr>
        <w:t>качеству продукции</w:t>
      </w:r>
      <w:bookmarkEnd w:id="37"/>
    </w:p>
    <w:p>
      <w:pPr>
        <w:pStyle w:val="Heading1"/>
        <w:keepLines/>
        <w:tabs>
          <w:tab w:val="clear" w:pos="0"/>
        </w:tabs>
        <w:spacing w:before="240" w:after="60"/>
        <w:ind w:left="0" w:hanging="0"/>
        <w:rPr>
          <w:sz w:val="24"/>
          <w:szCs w:val="24"/>
        </w:rPr>
      </w:pPr>
      <w:r>
        <w:rPr>
          <w:sz w:val="24"/>
          <w:szCs w:val="24"/>
        </w:rPr>
        <w:t xml:space="preserve"> </w:t>
      </w:r>
      <w:bookmarkStart w:id="40"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40"/>
      <w:r>
        <w:rPr>
          <w:sz w:val="24"/>
          <w:szCs w:val="24"/>
        </w:rPr>
        <w:t xml:space="preserve"> </w:t>
      </w:r>
    </w:p>
    <w:p>
      <w:pPr>
        <w:pStyle w:val="Normal"/>
        <w:jc w:val="both"/>
        <w:rPr>
          <w:sz w:val="24"/>
          <w:szCs w:val="24"/>
        </w:rPr>
      </w:pPr>
      <w:r>
        <w:rPr>
          <w:b/>
          <w:bCs/>
          <w:sz w:val="24"/>
          <w:szCs w:val="24"/>
        </w:rPr>
        <w:t>Наименование продукции: ОКПД2 28.21.13.110 Поставка низкотемпературной лабораторной печи для нужд Волжского филиала АО «Гидроремонт-ВКК»</w:t>
      </w:r>
    </w:p>
    <w:p>
      <w:pPr>
        <w:pStyle w:val="Normal"/>
        <w:jc w:val="both"/>
        <w:rPr>
          <w:b/>
          <w:bCs/>
          <w:iCs/>
          <w:sz w:val="24"/>
          <w:szCs w:val="24"/>
        </w:rPr>
      </w:pPr>
      <w:r>
        <w:rPr>
          <w:b/>
          <w:bCs/>
          <w:iCs/>
          <w:sz w:val="24"/>
          <w:szCs w:val="24"/>
        </w:rPr>
      </w:r>
      <w:bookmarkStart w:id="41" w:name="_GoBack"/>
      <w:bookmarkStart w:id="42" w:name="_GoBack"/>
      <w:bookmarkEnd w:id="42"/>
    </w:p>
    <w:tbl>
      <w:tblPr>
        <w:tblStyle w:val="affff6"/>
        <w:tblW w:w="1003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43"/>
        <w:gridCol w:w="5890"/>
        <w:gridCol w:w="3302"/>
      </w:tblGrid>
      <w:tr>
        <w:trPr/>
        <w:tc>
          <w:tcPr>
            <w:tcW w:w="843"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890"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3302"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43"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890"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3302"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c>
          <w:tcPr>
            <w:tcW w:w="10035" w:type="dxa"/>
            <w:gridSpan w:val="3"/>
            <w:tcBorders>
              <w:top w:val="nil"/>
            </w:tcBorders>
            <w:vAlign w:val="center"/>
          </w:tcPr>
          <w:p>
            <w:pPr>
              <w:pStyle w:val="Normal"/>
              <w:widowControl w:val="false"/>
              <w:suppressAutoHyphens w:val="true"/>
              <w:spacing w:before="60" w:after="60"/>
              <w:jc w:val="left"/>
              <w:rPr>
                <w:b/>
                <w:bCs/>
                <w:sz w:val="24"/>
                <w:szCs w:val="24"/>
              </w:rPr>
            </w:pPr>
            <w:r>
              <w:rPr>
                <w:b/>
                <w:bCs/>
                <w:sz w:val="24"/>
                <w:szCs w:val="24"/>
              </w:rPr>
              <w:t>ОКПД2 28.21.13.110 Поставка низкотемпературной лабораторной печи для нужд Волжского филиала АО «Гидроремонт-ВКК»</w:t>
            </w:r>
          </w:p>
        </w:tc>
      </w:tr>
      <w:tr>
        <w:trPr>
          <w:trHeight w:val="510" w:hRule="atLeast"/>
        </w:trPr>
        <w:tc>
          <w:tcPr>
            <w:tcW w:w="843" w:type="dxa"/>
            <w:tcBorders>
              <w:right w:val="nil"/>
            </w:tcBorders>
            <w:vAlign w:val="center"/>
          </w:tcPr>
          <w:p>
            <w:pPr>
              <w:pStyle w:val="Normal"/>
              <w:widowControl w:val="false"/>
              <w:suppressAutoHyphens w:val="true"/>
              <w:spacing w:before="0" w:after="0"/>
              <w:jc w:val="both"/>
              <w:rPr>
                <w:b/>
                <w:bCs/>
              </w:rPr>
            </w:pPr>
            <w:r>
              <w:rPr>
                <w:rFonts w:eastAsia="Times New Roman" w:cs="Times New Roman"/>
                <w:b/>
                <w:bCs/>
                <w:kern w:val="0"/>
                <w:sz w:val="24"/>
                <w:szCs w:val="24"/>
                <w:lang w:val="ru-RU" w:eastAsia="ru-RU" w:bidi="ar-SA"/>
              </w:rPr>
              <w:t>1</w:t>
            </w:r>
          </w:p>
        </w:tc>
        <w:tc>
          <w:tcPr>
            <w:tcW w:w="9192" w:type="dxa"/>
            <w:gridSpan w:val="2"/>
            <w:tcBorders/>
            <w:vAlign w:val="center"/>
          </w:tcPr>
          <w:p>
            <w:pPr>
              <w:pStyle w:val="Normal"/>
              <w:widowControl w:val="false"/>
              <w:suppressAutoHyphens w:val="true"/>
              <w:spacing w:before="0" w:after="0"/>
              <w:jc w:val="both"/>
              <w:rPr>
                <w:b/>
                <w:bCs/>
                <w:sz w:val="24"/>
                <w:szCs w:val="24"/>
              </w:rPr>
            </w:pPr>
            <w:r>
              <w:rPr>
                <w:b/>
                <w:bCs/>
                <w:sz w:val="24"/>
                <w:szCs w:val="24"/>
              </w:rPr>
              <w:t>Требования к техническим и функциональным характеристикам (включая гарантируемые показатели)</w:t>
            </w:r>
          </w:p>
        </w:tc>
      </w:tr>
      <w:tr>
        <w:trPr>
          <w:trHeight w:val="293" w:hRule="atLeast"/>
        </w:trPr>
        <w:tc>
          <w:tcPr>
            <w:tcW w:w="843" w:type="dxa"/>
            <w:tcBorders/>
            <w:vAlign w:val="center"/>
          </w:tcPr>
          <w:p>
            <w:pPr>
              <w:pStyle w:val="Normal"/>
              <w:widowControl w:val="false"/>
              <w:suppressAutoHyphens w:val="true"/>
              <w:spacing w:before="0" w:after="200"/>
              <w:jc w:val="center"/>
              <w:rPr>
                <w:sz w:val="24"/>
                <w:szCs w:val="24"/>
              </w:rPr>
            </w:pPr>
            <w:r>
              <w:rPr>
                <w:sz w:val="24"/>
                <w:szCs w:val="24"/>
              </w:rPr>
              <w:t>1.1.</w:t>
            </w:r>
          </w:p>
        </w:tc>
        <w:tc>
          <w:tcPr>
            <w:tcW w:w="5890" w:type="dxa"/>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Назначение</w:t>
            </w:r>
          </w:p>
        </w:tc>
        <w:tc>
          <w:tcPr>
            <w:tcW w:w="3302" w:type="dxa"/>
            <w:tcBorders/>
            <w:shd w:color="auto" w:fill="auto" w:val="clear"/>
          </w:tcPr>
          <w:p>
            <w:pPr>
              <w:pStyle w:val="Normal"/>
              <w:tabs>
                <w:tab w:val="clear" w:pos="708"/>
                <w:tab w:val="left" w:pos="993" w:leader="none"/>
              </w:tabs>
              <w:spacing w:lineRule="auto" w:line="240" w:before="0" w:after="0"/>
              <w:ind w:left="0" w:right="0" w:hanging="15"/>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сушки сырья и материалов,  термической обработки деталей</w:t>
            </w:r>
          </w:p>
        </w:tc>
      </w:tr>
      <w:tr>
        <w:trPr/>
        <w:tc>
          <w:tcPr>
            <w:tcW w:w="843"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1.2.</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Объем, л.</w:t>
              <w:tab/>
              <w:t>не менее</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500</w:t>
            </w:r>
          </w:p>
        </w:tc>
      </w:tr>
      <w:tr>
        <w:trPr/>
        <w:tc>
          <w:tcPr>
            <w:tcW w:w="843"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1.3.</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Диапазон автоматического регулирования температуры, °С</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35 … 400</w:t>
            </w:r>
          </w:p>
        </w:tc>
      </w:tr>
      <w:tr>
        <w:trPr/>
        <w:tc>
          <w:tcPr>
            <w:tcW w:w="843"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1.4.</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Точность поддержания температуры в контрольной точке в установившемся тепловом режиме, °С  не хуже</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±2</w:t>
            </w:r>
          </w:p>
        </w:tc>
      </w:tr>
      <w:tr>
        <w:trPr/>
        <w:tc>
          <w:tcPr>
            <w:tcW w:w="843"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1.5.</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Неравномерность температуры по объему в установившемся тепловом режиме, °С  не хуже</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±5</w:t>
            </w:r>
          </w:p>
        </w:tc>
      </w:tr>
      <w:tr>
        <w:trPr>
          <w:trHeight w:val="653" w:hRule="atLeast"/>
        </w:trPr>
        <w:tc>
          <w:tcPr>
            <w:tcW w:w="843" w:type="dxa"/>
            <w:tcBorders>
              <w:top w:val="nil"/>
            </w:tcBorders>
            <w:vAlign w:val="center"/>
          </w:tcPr>
          <w:p>
            <w:pPr>
              <w:pStyle w:val="Normal"/>
              <w:widowControl w:val="false"/>
              <w:suppressAutoHyphens w:val="true"/>
              <w:spacing w:before="0" w:after="200"/>
              <w:jc w:val="center"/>
              <w:rPr>
                <w:sz w:val="24"/>
                <w:szCs w:val="24"/>
              </w:rPr>
            </w:pPr>
            <w:r>
              <w:rPr>
                <w:sz w:val="24"/>
                <w:szCs w:val="24"/>
              </w:rPr>
              <w:t>1.6.</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Время разогрева до максимальной температуры, мин , не более</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40</w:t>
            </w:r>
          </w:p>
        </w:tc>
      </w:tr>
      <w:tr>
        <w:trPr>
          <w:trHeight w:val="653" w:hRule="atLeast"/>
        </w:trPr>
        <w:tc>
          <w:tcPr>
            <w:tcW w:w="843"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1.7.</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Нагрузка на полку, кг не менее</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35</w:t>
            </w:r>
          </w:p>
        </w:tc>
      </w:tr>
      <w:tr>
        <w:trPr>
          <w:trHeight w:val="653" w:hRule="atLeast"/>
        </w:trPr>
        <w:tc>
          <w:tcPr>
            <w:tcW w:w="843" w:type="dxa"/>
            <w:tcBorders>
              <w:top w:val="nil"/>
            </w:tcBorders>
            <w:vAlign w:val="center"/>
          </w:tcPr>
          <w:p>
            <w:pPr>
              <w:pStyle w:val="Normal"/>
              <w:widowControl w:val="false"/>
              <w:suppressAutoHyphens w:val="true"/>
              <w:spacing w:before="0" w:after="200"/>
              <w:jc w:val="center"/>
              <w:rPr>
                <w:sz w:val="24"/>
                <w:szCs w:val="24"/>
              </w:rPr>
            </w:pPr>
            <w:r>
              <w:rPr>
                <w:sz w:val="24"/>
                <w:szCs w:val="24"/>
              </w:rPr>
              <w:t>1.8.</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 xml:space="preserve">Вентиляционное отверстие с заслонкой </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имеется</w:t>
            </w:r>
          </w:p>
        </w:tc>
      </w:tr>
      <w:tr>
        <w:trPr>
          <w:trHeight w:val="653" w:hRule="atLeast"/>
        </w:trPr>
        <w:tc>
          <w:tcPr>
            <w:tcW w:w="843" w:type="dxa"/>
            <w:tcBorders>
              <w:top w:val="nil"/>
            </w:tcBorders>
            <w:vAlign w:val="center"/>
          </w:tcPr>
          <w:p>
            <w:pPr>
              <w:pStyle w:val="Normal"/>
              <w:widowControl w:val="false"/>
              <w:suppressAutoHyphens w:val="true"/>
              <w:spacing w:before="0" w:after="200"/>
              <w:jc w:val="center"/>
              <w:rPr>
                <w:sz w:val="24"/>
                <w:szCs w:val="24"/>
              </w:rPr>
            </w:pPr>
            <w:r>
              <w:rPr>
                <w:sz w:val="24"/>
                <w:szCs w:val="24"/>
              </w:rPr>
              <w:t>1.9.</w:t>
            </w:r>
          </w:p>
        </w:tc>
        <w:tc>
          <w:tcPr>
            <w:tcW w:w="5890"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Напряжение питающей сети, В</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220</w:t>
            </w:r>
          </w:p>
        </w:tc>
      </w:tr>
      <w:tr>
        <w:trPr/>
        <w:tc>
          <w:tcPr>
            <w:tcW w:w="843" w:type="dxa"/>
            <w:tcBorders>
              <w:top w:val="nil"/>
            </w:tcBorders>
            <w:vAlign w:val="center"/>
          </w:tcPr>
          <w:p>
            <w:pPr>
              <w:pStyle w:val="ListParagraph"/>
              <w:widowControl w:val="false"/>
              <w:suppressAutoHyphens w:val="true"/>
              <w:spacing w:before="60" w:after="60"/>
              <w:ind w:left="-117" w:hanging="0"/>
              <w:contextualSpacing/>
              <w:jc w:val="center"/>
              <w:rPr>
                <w:b/>
                <w:bCs/>
              </w:rPr>
            </w:pPr>
            <w:r>
              <w:rPr>
                <w:rFonts w:cs="Times New Roman"/>
                <w:b/>
                <w:bCs/>
                <w:kern w:val="0"/>
                <w:lang w:val="ru-RU" w:eastAsia="ru-RU" w:bidi="ar-SA"/>
              </w:rPr>
              <w:t>2.</w:t>
            </w:r>
          </w:p>
        </w:tc>
        <w:tc>
          <w:tcPr>
            <w:tcW w:w="9192"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43"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2.1</w:t>
            </w:r>
          </w:p>
        </w:tc>
        <w:tc>
          <w:tcPr>
            <w:tcW w:w="9192" w:type="dxa"/>
            <w:gridSpan w:val="2"/>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Поставщик обязан установить на продукцию гарантийный срок 12 (Двенадцать)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Установленный в отношении Продукции Гарантийный срок распространяется на все составные части и комплектующие Продукции.</w:t>
            </w:r>
          </w:p>
        </w:tc>
      </w:tr>
      <w:tr>
        <w:trPr/>
        <w:tc>
          <w:tcPr>
            <w:tcW w:w="843"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3</w:t>
            </w:r>
            <w:r>
              <w:rPr>
                <w:rFonts w:cs="Times New Roman"/>
                <w:b/>
                <w:bCs/>
                <w:kern w:val="0"/>
                <w:lang w:val="en-US" w:eastAsia="ru-RU" w:bidi="ar-SA"/>
              </w:rPr>
              <w:t>.</w:t>
            </w:r>
          </w:p>
        </w:tc>
        <w:tc>
          <w:tcPr>
            <w:tcW w:w="9192"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43"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lang w:val="en-US"/>
              </w:rPr>
              <w:t>3.1</w:t>
            </w:r>
          </w:p>
        </w:tc>
        <w:tc>
          <w:tcPr>
            <w:tcW w:w="9192" w:type="dxa"/>
            <w:gridSpan w:val="2"/>
            <w:tcBorders>
              <w:top w:val="nil"/>
            </w:tcBorders>
            <w:shd w:color="auto" w:fill="auto" w:val="clear"/>
          </w:tcPr>
          <w:p>
            <w:pPr>
              <w:pStyle w:val="Normal"/>
              <w:widowControl w:val="false"/>
              <w:suppressAutoHyphens w:val="true"/>
              <w:spacing w:before="0" w:after="200"/>
              <w:jc w:val="left"/>
              <w:rPr>
                <w:sz w:val="24"/>
                <w:szCs w:val="24"/>
              </w:rPr>
            </w:pPr>
            <w:r>
              <w:rPr>
                <w:sz w:val="24"/>
                <w:szCs w:val="24"/>
              </w:rPr>
              <w:t>1) Платформенная тележка электрическая; 2) комплект аккумуляторов на 32 Ач напряжением 60 В; 3) зарядное устройство</w:t>
            </w:r>
          </w:p>
        </w:tc>
      </w:tr>
      <w:tr>
        <w:trPr/>
        <w:tc>
          <w:tcPr>
            <w:tcW w:w="843"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3.2</w:t>
            </w:r>
          </w:p>
        </w:tc>
        <w:tc>
          <w:tcPr>
            <w:tcW w:w="9192" w:type="dxa"/>
            <w:gridSpan w:val="2"/>
            <w:tcBorders>
              <w:top w:val="nil"/>
            </w:tcBorders>
            <w:shd w:color="auto" w:fill="auto" w:val="clear"/>
          </w:tcPr>
          <w:p>
            <w:pPr>
              <w:pStyle w:val="Normal"/>
              <w:widowControl w:val="false"/>
              <w:suppressAutoHyphens w:val="true"/>
              <w:spacing w:before="0" w:after="0"/>
              <w:jc w:val="left"/>
              <w:rPr/>
            </w:pPr>
            <w:r>
              <w:rPr>
                <w:rFonts w:eastAsia="Times New Roman" w:cs="Times New Roman"/>
                <w:kern w:val="0"/>
                <w:sz w:val="24"/>
                <w:szCs w:val="24"/>
                <w:lang w:val="ru-RU" w:eastAsia="ru-RU" w:bidi="ar-SA"/>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Сертификат качества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Технический паспорт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Инструкция по эксплуатации (монтажу и т.п.)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Упаковочный лист на Продукцию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Обязательные первичные документы:</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Товарную накладную по форме ТОРГ-12 или Универсальный передаточный документ (УПД) в 2 экз.</w:t>
            </w:r>
          </w:p>
        </w:tc>
      </w:tr>
      <w:tr>
        <w:trPr/>
        <w:tc>
          <w:tcPr>
            <w:tcW w:w="843"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4</w:t>
            </w:r>
            <w:r>
              <w:rPr>
                <w:rFonts w:eastAsia="Times New Roman" w:cs="Times New Roman"/>
                <w:b/>
                <w:bCs/>
                <w:kern w:val="0"/>
                <w:sz w:val="24"/>
                <w:szCs w:val="24"/>
                <w:lang w:val="en-US" w:eastAsia="x-none" w:bidi="ar-SA"/>
              </w:rPr>
              <w:t>.</w:t>
            </w:r>
          </w:p>
        </w:tc>
        <w:tc>
          <w:tcPr>
            <w:tcW w:w="9192"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43"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4.1</w:t>
            </w:r>
          </w:p>
        </w:tc>
        <w:tc>
          <w:tcPr>
            <w:tcW w:w="9192"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43"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4.2</w:t>
            </w:r>
          </w:p>
        </w:tc>
        <w:tc>
          <w:tcPr>
            <w:tcW w:w="9192"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43"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4.3</w:t>
            </w:r>
          </w:p>
        </w:tc>
        <w:tc>
          <w:tcPr>
            <w:tcW w:w="9192"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43"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5</w:t>
            </w:r>
            <w:r>
              <w:rPr>
                <w:rFonts w:eastAsia="Times New Roman" w:cs="Times New Roman"/>
                <w:b/>
                <w:bCs/>
                <w:kern w:val="0"/>
                <w:sz w:val="24"/>
                <w:szCs w:val="24"/>
                <w:lang w:val="en-US" w:eastAsia="x-none" w:bidi="ar-SA"/>
              </w:rPr>
              <w:t>.</w:t>
            </w:r>
          </w:p>
        </w:tc>
        <w:tc>
          <w:tcPr>
            <w:tcW w:w="9192"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43"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5.1</w:t>
            </w:r>
          </w:p>
        </w:tc>
        <w:tc>
          <w:tcPr>
            <w:tcW w:w="9192"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Times New Roman">
    <w:charset w:val="cc"/>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Application>AlterOffice/3.4.0.9$Linux_X86_64 LibreOffice_project/b8daf9e823b1a5463a2f48435ddc2e8696e7d4fc</Application>
  <AppVersion>15.0000</AppVersion>
  <DocSecurity>4</DocSecurity>
  <Pages>4</Pages>
  <Words>672</Words>
  <Characters>4557</Characters>
  <CharactersWithSpaces>5158</CharactersWithSpaces>
  <Paragraphs>115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korolevkv@corp.gidroogk.com</cp:lastModifiedBy>
  <cp:lastPrinted>2025-07-01T13:51:25Z</cp:lastPrinted>
  <dcterms:modified xsi:type="dcterms:W3CDTF">2026-06-29T15:31:53Z</dcterms:modified>
  <cp:revision>34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