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2026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совместно в дальнейшем именуемые «Стороны», а по отдельности – «Сторона», по результатам проведенной закупочной процедуры способом нерегламентированная закупка, по лоту № 002</w:t>
      </w:r>
      <w:r>
        <w:rPr>
          <w:sz w:val="22"/>
          <w:szCs w:val="22"/>
        </w:rPr>
        <w:t>8</w:t>
      </w:r>
      <w:r>
        <w:rPr>
          <w:sz w:val="22"/>
          <w:szCs w:val="22"/>
        </w:rPr>
        <w:t>-ТПИР ОНМ-2026-ГРВКК-ВолФ, на основании аналитической записки,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__________________</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Срок поставки Продукции по Договору: в течение 60 календарных дней с даты подписания договора сторонами.</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 xml:space="preserve">Общая стоимость Продукции (далее – «Цена Договора») составляет </w:t>
      </w:r>
      <w:r>
        <w:rPr>
          <w:b/>
          <w:bCs/>
          <w:sz w:val="22"/>
          <w:szCs w:val="22"/>
        </w:rPr>
        <w:t xml:space="preserve">_________ (__________) рублей ___ копеек без НДС, </w:t>
      </w:r>
      <w:r>
        <w:rPr>
          <w:b w:val="false"/>
          <w:bCs w:val="false"/>
          <w:sz w:val="22"/>
          <w:szCs w:val="22"/>
        </w:rPr>
        <w:t>при этом НДС исчисляется дополнительно по ставке, установленной ст. 164 Налогового кодекса РФ.</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не ранее 2025 года выпуска,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Железнодорожную накладную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12 (Двенадцать) месяцев с даты подписания Сторонами соответствующей товарной накладной по форме ТОРГ-12 или Универса</w:t>
      </w:r>
      <w:r>
        <w:rPr>
          <w:rFonts w:eastAsia="Calibri"/>
          <w:sz w:val="22"/>
          <w:szCs w:val="22"/>
          <w:lang w:eastAsia="en-US"/>
        </w:rPr>
        <w:t>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6"/>
      <w:bookmarkStart w:id="3" w:name="OLE_LINK5"/>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и лицензий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цены Договора за каждый день просрочки поставки Продукции;</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7"/>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2026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Цена одной единицы Продукции, руб.,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Итоговая стоимость позиции Продукции, руб. без НДС</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w:t>
      </w:r>
      <w:r>
        <w:rPr>
          <w:bCs/>
          <w:sz w:val="22"/>
          <w:szCs w:val="22"/>
        </w:rPr>
        <w:t>без учета НДС, при этом НДС исчисляется дополнительно по ставке, установленной ст. 164 Налогового кодекса РФ.</w:t>
      </w:r>
    </w:p>
    <w:p>
      <w:pPr>
        <w:pStyle w:val="Normal"/>
        <w:ind w:firstLine="567"/>
        <w:jc w:val="both"/>
        <w:rPr>
          <w:bCs/>
          <w:sz w:val="22"/>
          <w:szCs w:val="22"/>
        </w:rPr>
      </w:pPr>
      <w:r>
        <w:rPr>
          <w:bCs/>
          <w:sz w:val="22"/>
          <w:szCs w:val="22"/>
        </w:rPr>
        <w:t xml:space="preserve">2. Страна производства по ОКСМ: </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sectPr>
      <w:headerReference w:type="default" r:id="rId9"/>
      <w:headerReference w:type="first" r:id="rId10"/>
      <w:footerReference w:type="default" r:id="rId11"/>
      <w:footerReference w:type="first" r:id="rId12"/>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102"/>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paragraph" w:styleId="Style13">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0"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1"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Application>AlterOffice/3.4.0.9$Linux_X86_64 LibreOffice_project/b8daf9e823b1a5463a2f48435ddc2e8696e7d4fc</Application>
  <AppVersion>15.0000</AppVersion>
  <Pages>16</Pages>
  <Words>6869</Words>
  <Characters>48669</Characters>
  <CharactersWithSpaces>55196</CharactersWithSpaces>
  <Paragraphs>287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korolevkv@corp.gidroogk.com</cp:lastModifiedBy>
  <cp:lastPrinted>2025-01-24T15:27:00Z</cp:lastPrinted>
  <dcterms:modified xsi:type="dcterms:W3CDTF">2026-06-29T16:19:17Z</dcterms:modified>
  <cp:revision>134</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