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120" w:after="120"/>
        <w:jc w:val="center"/>
        <w:rPr>
          <w:rFonts w:eastAsia="Calibri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spacing w:before="120" w:after="120"/>
        <w:jc w:val="center"/>
        <w:rPr/>
      </w:pPr>
      <w:r>
        <w:rPr/>
      </w:r>
    </w:p>
    <w:p>
      <w:pPr>
        <w:pStyle w:val="Normal"/>
        <w:spacing w:before="120" w:after="120"/>
        <w:jc w:val="center"/>
        <w:rPr/>
      </w:pPr>
      <w:r>
        <w:rPr/>
      </w:r>
    </w:p>
    <w:p>
      <w:pPr>
        <w:pStyle w:val="Normal"/>
        <w:spacing w:before="120" w:after="120"/>
        <w:jc w:val="center"/>
        <w:rPr>
          <w:b/>
        </w:rPr>
      </w:pPr>
      <w:r>
        <w:rPr>
          <w:b/>
        </w:rPr>
        <w:t xml:space="preserve">«ОКПД2 71.12.4. Оказание услуг по поверке датчиков деформации струнных и датчиков давления </w:t>
      </w:r>
      <w:r>
        <w:rPr>
          <w:b/>
          <w:lang w:val="en-US"/>
        </w:rPr>
        <w:t>PLLG</w:t>
      </w:r>
      <w:r>
        <w:rPr>
          <w:b/>
        </w:rPr>
        <w:t xml:space="preserve"> (средств измерений)</w:t>
      </w:r>
      <w:bookmarkStart w:id="0" w:name="_GoBack"/>
      <w:bookmarkEnd w:id="0"/>
      <w:r>
        <w:rPr>
          <w:b/>
        </w:rPr>
        <w:t xml:space="preserve"> для нужд АО «ВНИИГ им. Б.Е. Веденеева»»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5805" w:leader="none"/>
        </w:tabs>
        <w:spacing w:lineRule="auto" w:line="276" w:before="0"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2"/>
        </w:numPr>
        <w:spacing w:before="0" w:after="120"/>
        <w:ind w:left="567" w:hanging="567"/>
        <w:contextualSpacing/>
        <w:jc w:val="center"/>
        <w:outlineLvl w:val="0"/>
        <w:rPr/>
      </w:pPr>
      <w:r>
        <w:rPr>
          <w:b/>
          <w:sz w:val="28"/>
        </w:rPr>
        <w:t>Общие сведения</w:t>
      </w:r>
    </w:p>
    <w:p>
      <w:pPr>
        <w:pStyle w:val="Normal"/>
        <w:numPr>
          <w:ilvl w:val="0"/>
          <w:numId w:val="0"/>
        </w:numPr>
        <w:spacing w:before="0" w:after="120"/>
        <w:ind w:left="567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120"/>
        <w:ind w:left="567" w:hanging="0"/>
        <w:jc w:val="center"/>
        <w:outlineLvl w:val="0"/>
        <w:rPr/>
      </w:pPr>
      <w:r>
        <w:rPr/>
      </w:r>
    </w:p>
    <w:p>
      <w:pPr>
        <w:pStyle w:val="ListParagraph"/>
        <w:numPr>
          <w:ilvl w:val="1"/>
          <w:numId w:val="2"/>
        </w:numPr>
        <w:spacing w:before="0" w:after="120"/>
        <w:ind w:left="567" w:hanging="567"/>
        <w:contextualSpacing/>
        <w:outlineLvl w:val="0"/>
        <w:rPr/>
      </w:pPr>
      <w:r>
        <w:rPr>
          <w:b/>
        </w:rPr>
        <w:t>Наименование закупаемых услуг</w:t>
      </w:r>
    </w:p>
    <w:p>
      <w:pPr>
        <w:pStyle w:val="Normal"/>
        <w:spacing w:before="0" w:after="120"/>
        <w:ind w:firstLine="567"/>
        <w:jc w:val="both"/>
        <w:rPr/>
      </w:pPr>
      <w:r>
        <w:rPr>
          <w:rFonts w:eastAsia="Calibri"/>
          <w:lang w:eastAsia="en-US"/>
        </w:rPr>
        <w:t>Поверка  средств измерений для нужд АО «ВНИИГ им. Б.Е. Веденеева».</w:t>
      </w:r>
    </w:p>
    <w:p>
      <w:pPr>
        <w:pStyle w:val="Normal"/>
        <w:spacing w:before="0" w:after="120"/>
        <w:ind w:firstLine="567"/>
        <w:jc w:val="both"/>
        <w:rPr/>
      </w:pPr>
      <w:r>
        <w:rPr/>
      </w:r>
    </w:p>
    <w:p>
      <w:pPr>
        <w:pStyle w:val="ListParagraph"/>
        <w:numPr>
          <w:ilvl w:val="1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>Цели и задачи. Существующее положение</w:t>
      </w:r>
    </w:p>
    <w:p>
      <w:pPr>
        <w:pStyle w:val="Normal"/>
        <w:spacing w:before="0" w:after="120"/>
        <w:ind w:firstLine="567"/>
        <w:jc w:val="both"/>
        <w:rPr/>
      </w:pPr>
      <w:r>
        <w:rPr/>
        <w:t xml:space="preserve">Целью закупки услуг является выполнение поверки средств измерений (далее - СИ) </w:t>
      </w:r>
      <w:r>
        <w:rPr>
          <w:rFonts w:eastAsia="Calibri"/>
          <w:lang w:eastAsia="en-US"/>
        </w:rPr>
        <w:t>для нужд АО «ВНИИГ им. Б.Е. Веденеева»</w:t>
      </w:r>
      <w:r>
        <w:rPr/>
        <w:t>. Согласно статье 13 Федерального закона от 26.06.2008 N 102-ФЗ (ред. от 11.06.2021) "Об обеспечении единства измерений" (с изм. и доп., вступ. в силу с 28.12.2021), средства измерений, предназначенные для применения в сфере государственного регулирования обеспечения единства измерений в процессе эксплуатации  подлежат периодической поверке.</w:t>
      </w:r>
    </w:p>
    <w:p>
      <w:pPr>
        <w:pStyle w:val="Normal"/>
        <w:spacing w:before="0" w:after="120"/>
        <w:ind w:firstLine="567"/>
        <w:jc w:val="both"/>
        <w:rPr/>
      </w:pPr>
      <w:r>
        <w:rPr/>
      </w:r>
    </w:p>
    <w:p>
      <w:pPr>
        <w:pStyle w:val="Normal"/>
        <w:spacing w:before="0" w:after="120"/>
        <w:ind w:left="567" w:hanging="0"/>
        <w:rPr/>
      </w:pPr>
      <w:r>
        <w:rPr>
          <w:b/>
        </w:rPr>
        <w:t>Таблица 1. Перечень объектов заказчика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1"/>
        <w:gridCol w:w="1844"/>
        <w:gridCol w:w="1843"/>
        <w:gridCol w:w="4677"/>
        <w:gridCol w:w="1023"/>
      </w:tblGrid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rPr/>
            </w:pPr>
            <w:r>
              <w:rPr/>
              <w:t>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Расположение объекта </w:t>
            </w:r>
            <w:r>
              <w:rPr/>
              <w:br w:type="textWrapping" w:clear="all"/>
            </w:r>
            <w:r>
              <w:rPr>
                <w:i/>
                <w:iCs/>
              </w:rPr>
              <w:t>(место оказания услуг)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Примечания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АО «ВНИИГ им. Б.Е. Веденеева»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195220, г. Санкт-Петербург, ул. Гжатская, д. 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СИ, подлежащие поверке, согласно Перечню СИ, указанных в Приложении 1 к настоящим ТТ.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12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ind w:left="567" w:hanging="567"/>
        <w:jc w:val="center"/>
        <w:rPr/>
      </w:pPr>
      <w:r>
        <w:rPr>
          <w:b/>
          <w:iCs/>
          <w:sz w:val="28"/>
        </w:rPr>
        <w:t>Требования к закупаемым услугам</w:t>
      </w:r>
    </w:p>
    <w:p>
      <w:pPr>
        <w:pStyle w:val="ListParagraph"/>
        <w:numPr>
          <w:ilvl w:val="1"/>
          <w:numId w:val="2"/>
        </w:numPr>
        <w:ind w:left="567" w:hanging="567"/>
        <w:rPr/>
      </w:pPr>
      <w:r>
        <w:rPr>
          <w:b/>
        </w:rPr>
        <w:t>Требования к объемам и срокам оказания услуг</w:t>
      </w:r>
    </w:p>
    <w:p>
      <w:pPr>
        <w:pStyle w:val="ListParagraph"/>
        <w:numPr>
          <w:ilvl w:val="2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>Требования к перечню и объему услуг</w:t>
      </w:r>
    </w:p>
    <w:p>
      <w:pPr>
        <w:pStyle w:val="Normal"/>
        <w:spacing w:before="0" w:after="120"/>
        <w:ind w:left="567" w:hanging="0"/>
        <w:rPr>
          <w:b/>
        </w:rPr>
      </w:pPr>
      <w:r>
        <w:rPr>
          <w:b/>
        </w:rPr>
        <w:t>Таблица 2. Перечень и объем оказываемых услуг</w:t>
      </w:r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7"/>
        <w:gridCol w:w="212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Наименование услуг / этапа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Поверка средств измерений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 ед.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Normal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2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 xml:space="preserve">Требования к срокам оказания услуг </w:t>
      </w:r>
    </w:p>
    <w:p>
      <w:pPr>
        <w:pStyle w:val="Normal"/>
        <w:spacing w:before="0" w:after="120"/>
        <w:ind w:left="567" w:hanging="0"/>
        <w:rPr>
          <w:b/>
        </w:rPr>
      </w:pPr>
      <w:r>
        <w:rPr>
          <w:b/>
        </w:rPr>
        <w:t xml:space="preserve">Таблица 3. </w:t>
      </w:r>
      <w:bookmarkStart w:id="1" w:name="_Hlk50465284"/>
      <w:r>
        <w:rPr>
          <w:b/>
        </w:rPr>
        <w:t xml:space="preserve">Требования к срокам </w:t>
      </w:r>
      <w:bookmarkEnd w:id="1"/>
      <w:r>
        <w:rPr>
          <w:b/>
        </w:rPr>
        <w:t>оказания услуг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687"/>
        <w:gridCol w:w="2549"/>
        <w:gridCol w:w="2865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услуг/ этапа услуг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оказания услуг/ этапа услуг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/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Поверка средств измерений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С даты, следующей за датой подписания договора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через 30 дней с момента начала оказания Услуг.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gutter="0" w:header="0" w:top="850" w:footer="709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120"/>
        <w:ind w:left="567" w:hanging="0"/>
        <w:rPr/>
      </w:pPr>
      <w:r>
        <w:rPr/>
      </w:r>
    </w:p>
    <w:p>
      <w:pPr>
        <w:pStyle w:val="ListParagraph"/>
        <w:numPr>
          <w:ilvl w:val="1"/>
          <w:numId w:val="2"/>
        </w:numPr>
        <w:spacing w:before="0" w:after="120"/>
        <w:ind w:left="567" w:hanging="567"/>
        <w:contextualSpacing/>
        <w:rPr/>
      </w:pPr>
      <w:r>
        <w:rPr>
          <w:b/>
        </w:rPr>
        <w:t>Требования к качеству услуг</w:t>
      </w:r>
    </w:p>
    <w:p>
      <w:pPr>
        <w:pStyle w:val="Normal"/>
        <w:spacing w:before="0" w:after="120"/>
        <w:ind w:left="567" w:hanging="0"/>
        <w:rPr/>
      </w:pPr>
      <w:r>
        <w:rPr>
          <w:b/>
        </w:rPr>
        <w:t xml:space="preserve">Таблица 4. Требования к качеству услуг </w:t>
      </w:r>
    </w:p>
    <w:p>
      <w:pPr>
        <w:pStyle w:val="Normal"/>
        <w:spacing w:before="0" w:after="120"/>
        <w:ind w:left="567" w:hanging="0"/>
        <w:rPr/>
      </w:pPr>
      <w:r>
        <w:rPr>
          <w:b/>
          <w:bCs/>
        </w:rPr>
        <w:t xml:space="preserve">Наименование услуг/этапа услуг (позиция № 1Таблицы 2): </w:t>
      </w:r>
      <w:r>
        <w:rPr>
          <w:rFonts w:eastAsia="Calibri"/>
          <w:lang w:eastAsia="en-US"/>
        </w:rPr>
        <w:t>Поверка средств измерений для нужд АО «ВНИИГ им. Б.Е. Веденеева»</w:t>
      </w:r>
    </w:p>
    <w:tbl>
      <w:tblPr>
        <w:tblW w:w="1499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9"/>
        <w:gridCol w:w="4112"/>
        <w:gridCol w:w="6873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№ </w:t>
            </w: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Наименование параметра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Требование заказчика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</w:rPr>
              <w:t>Требования к оказанию услуг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Общие требования к оказанию услуг.</w:t>
            </w:r>
          </w:p>
        </w:tc>
      </w:tr>
      <w:tr>
        <w:trPr>
          <w:trHeight w:val="787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Вся документация разрабатывается и оформляется в соответствии с действующими нормативно-техническими документами в области поверки средств измерений, в том числе: Федеральный закон от 26.06.2008 N 102-ФЗ (ред. от 11.06.2021) "Об обеспечении единства измерений" (с изм. и доп., вступ. в силу с 28.12.2021); Приказ Минпромторга России от 31.07.2020 №2510 «Об утверждении порядка проведения поверки средств измерений, требования к знаку поверки и содержанию свидетельства о поверке»; ГОСТ Р 8.568-2017 «Государственная система обеспечения единства измерений. Аттестация испытательного оборудования. Основные положения»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Участник выполняет работы по поверке (калибровке) СИ и аттестации ИО по заявкам, полученным от Заказчика.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Перечень СИ и ИО Заказчика указаны в Приложении №1 к настоящим Техническим требованиям.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способам оказания услуг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Выполнение работ по поверке СИ по заявкам, полученным от Заказчика осуществляется Исполнителем в срок не более 20 (двадцати) рабочих дней с момента доставки СИ в место оказания Услуг.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ответственности и гарантиям исполнителя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Исполнитель обязан передавать сведения о результатах поверки  в Федеральный информационный фонд по обеспечению единства измерений (ФИФОЕИ)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2.2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Требования к документации, описывающей результат оказания услуг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2.2.1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По результатам оказания Услуг предоставляется: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«Свидетельство о поверке» или «Извещение о непригодности к применению» на бумажных носителях на каждое СИ, оформленные в соответствии с «Порядком проведения поверки средств измерений, требованиями к знаку поверки и содержанию свидетельства о поверке», утвержденными Приказом Министерства промышленности и торговли Российской Федерации № 2510 от 31.07.2020 или  «Сертификат о калибровке» с протоколом калибровки на каждое СИ, оформленный в соответствии с ГОСТ </w:t>
            </w:r>
            <w:r>
              <w:rPr>
                <w:lang w:val="en-US"/>
              </w:rPr>
              <w:t>ISO</w:t>
            </w:r>
            <w:r>
              <w:rPr/>
              <w:t>/</w:t>
            </w:r>
            <w:r>
              <w:rPr>
                <w:lang w:val="en-US"/>
              </w:rPr>
              <w:t>IEC</w:t>
            </w:r>
            <w:r>
              <w:rPr/>
              <w:t xml:space="preserve"> 17025-2019 «Общие требования к компетентности испытательных и калибровочных лабораторий».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исполнителю  и его обязательствам, влияющим на исполнение договора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Услуги должны оказываться лицом,  аккредитованным в установленном порядке согласно требованиям Федерального  закона "Об аккредитации в национальной системе аккредитации" от 28.12.2013 N 412-ФЗ на право проведения поверки  средств измерений,  имеющим действующий Аттестат аккредитации в области обеспечения единства измерений (на право поверки средств измерений или на право поверки и калибровки средств измерений) с соответствующей областью аккредитации.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В случае, если Исполнитель аккредитован только на право поверки СИ, он также обязан иметь документ, подтверждающий его компетентность в части выполнения калибровочных работ и подтверждающий его соответствие требованиям ГОСТ </w:t>
            </w:r>
            <w:r>
              <w:rPr>
                <w:lang w:val="en-US"/>
              </w:rPr>
              <w:t>ISO</w:t>
            </w:r>
            <w:r>
              <w:rPr/>
              <w:t>/</w:t>
            </w:r>
            <w:r>
              <w:rPr>
                <w:lang w:val="en-US"/>
              </w:rPr>
              <w:t>IEC</w:t>
            </w:r>
            <w:r>
              <w:rPr/>
              <w:t xml:space="preserve"> 17025-2019 «Общие требования к компетентности испытательных и калибровочных лабораторий»</w:t>
            </w:r>
          </w:p>
        </w:tc>
      </w:tr>
      <w:tr>
        <w:trPr>
          <w:trHeight w:val="313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10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Вывоз СИ и ИО и  доставка Заказчику поверенных/откалиброванных СИ осуществляется силами и средствами Исполнителя по адресу: 195220, Санкт-Петербург, ул. Гжатская, д. 21.</w:t>
            </w:r>
          </w:p>
        </w:tc>
      </w:tr>
    </w:tbl>
    <w:p>
      <w:pPr>
        <w:pStyle w:val="Normal"/>
        <w:spacing w:before="0" w:after="120"/>
        <w:ind w:left="567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850" w:right="850" w:gutter="0" w:header="0" w:top="1701" w:footer="709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/>
        <w:rPr>
          <w:bCs/>
          <w:iCs/>
        </w:rPr>
      </w:pPr>
      <w:r>
        <w:rPr>
          <w:bCs/>
          <w:i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ind w:left="36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jc w:val="center"/>
        <w:rPr>
          <w:b/>
        </w:rPr>
      </w:pPr>
      <w:r>
        <w:rPr>
          <w:b/>
          <w:bCs/>
          <w:sz w:val="28"/>
          <w:szCs w:val="28"/>
        </w:rPr>
        <w:t>Приложения</w:t>
      </w:r>
    </w:p>
    <w:p>
      <w:pPr>
        <w:pStyle w:val="ListParagraph"/>
        <w:ind w:left="360" w:hanging="0"/>
        <w:rPr>
          <w:b/>
        </w:rPr>
      </w:pPr>
      <w:r>
        <w:rPr>
          <w:b/>
        </w:rPr>
      </w:r>
    </w:p>
    <w:p>
      <w:pPr>
        <w:pStyle w:val="ListParagraph"/>
        <w:spacing w:before="0" w:after="120"/>
        <w:ind w:left="567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before="0" w:after="120"/>
        <w:contextualSpacing/>
        <w:jc w:val="both"/>
        <w:rPr/>
      </w:pPr>
      <w:r>
        <w:rPr/>
        <w:t>Приложение №1 Перечень средств измерений, предоставляемых в поверку для нужд АО «ВНИИГ им. Б.Е.Веденеева».</w:t>
      </w:r>
    </w:p>
    <w:p>
      <w:pPr>
        <w:pStyle w:val="Normal"/>
        <w:spacing w:lineRule="atLeast" w:line="283" w:before="0" w:after="0"/>
        <w:contextualSpacing/>
        <w:rPr>
          <w:rFonts w:eastAsia="Calibri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850" w:right="850" w:gutter="0" w:header="0" w:top="850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i w:val="fals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Annotation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Style2" w:customStyle="1">
    <w:name w:val="Текст примечания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3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" w:customStyle="1">
    <w:name w:val="Заголовок №1_"/>
    <w:qFormat/>
    <w:rPr>
      <w:b/>
      <w:bCs/>
      <w:sz w:val="28"/>
      <w:szCs w:val="28"/>
      <w:shd w:fill="FFFFFF" w:val="clear"/>
    </w:rPr>
  </w:style>
  <w:style w:type="character" w:styleId="2" w:customStyle="1">
    <w:name w:val="Заголовок №2_"/>
    <w:qFormat/>
    <w:rPr>
      <w:b/>
      <w:bCs/>
      <w:sz w:val="23"/>
      <w:szCs w:val="23"/>
      <w:shd w:fill="FFFFFF" w:val="clear"/>
    </w:rPr>
  </w:style>
  <w:style w:type="character" w:styleId="Style4" w:customStyle="1">
    <w:name w:val="Основной текст Знак"/>
    <w:qFormat/>
    <w:rPr>
      <w:sz w:val="23"/>
      <w:szCs w:val="23"/>
      <w:shd w:fill="FFFFFF" w:val="clear"/>
    </w:rPr>
  </w:style>
  <w:style w:type="character" w:styleId="11" w:customStyle="1">
    <w:name w:val="Основной текст Знак1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ascii="Cambria" w:hAnsi="Cambria" w:eastAsia="Times New Roman" w:cs="Times New Roman"/>
      <w:sz w:val="20"/>
      <w:szCs w:val="20"/>
    </w:rPr>
  </w:style>
  <w:style w:type="character" w:styleId="12" w:customStyle="1">
    <w:name w:val="Заголовок 1 ДИТ Знак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21" w:customStyle="1">
    <w:name w:val="Заголовок 2 ДИТ Знак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3" w:customStyle="1">
    <w:name w:val="Заголовок 3 ДИ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Стиль вставки"/>
    <w:uiPriority w:val="1"/>
    <w:qFormat/>
    <w:rPr>
      <w:rFonts w:ascii="Tahoma" w:hAnsi="Tahoma"/>
      <w:color w:val="000000"/>
      <w:sz w:val="20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val="5B9BD5" w:themeColor="accent1"/>
      <w:sz w:val="26"/>
      <w:szCs w:val="26"/>
      <w:lang w:eastAsia="ru-RU"/>
    </w:rPr>
  </w:style>
  <w:style w:type="character" w:styleId="23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shd w:fill="FFFFFF" w:val="clear"/>
    </w:rPr>
  </w:style>
  <w:style w:type="character" w:styleId="Blk" w:customStyle="1">
    <w:name w:val="blk"/>
    <w:qFormat/>
    <w:rPr/>
  </w:style>
  <w:style w:type="character" w:styleId="Style6" w:customStyle="1">
    <w:name w:val="Тема примечания Знак"/>
    <w:basedOn w:val="Style2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7" w:customStyle="1">
    <w:name w:val="комментарий"/>
    <w:qFormat/>
    <w:rPr>
      <w:b/>
      <w:i/>
      <w:shd w:fill="FFFF99" w:val="clear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exact" w:line="322" w:before="180" w:after="180"/>
      <w:ind w:hanging="1020"/>
      <w:jc w:val="both"/>
    </w:pPr>
    <w:rPr>
      <w:rFonts w:ascii="Calibri" w:hAnsi="Calibri" w:eastAsia="Calibri" w:cs="Arial" w:asciiTheme="minorHAnsi" w:cstheme="minorBidi" w:eastAsiaTheme="minorHAnsi" w:hAnsiTheme="minorHAnsi"/>
      <w:sz w:val="23"/>
      <w:szCs w:val="23"/>
      <w:lang w:eastAsia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Indexheading1">
    <w:name w:val="index heading1"/>
    <w:basedOn w:val="Style8"/>
    <w:qFormat/>
    <w:pPr/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Annotationtext">
    <w:name w:val="annotation text"/>
    <w:basedOn w:val="Normal"/>
    <w:uiPriority w:val="99"/>
    <w:unhideWhenUsed/>
    <w:qFormat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13" w:customStyle="1">
    <w:name w:val="Заголовок №1"/>
    <w:basedOn w:val="Normal"/>
    <w:qFormat/>
    <w:pPr>
      <w:shd w:val="clear" w:color="auto" w:fill="FFFFFF"/>
      <w:spacing w:lineRule="atLeast" w:line="240" w:before="0" w:after="1020"/>
      <w:ind w:hanging="520"/>
      <w:jc w:val="center"/>
      <w:outlineLvl w:val="0"/>
    </w:pPr>
    <w:rPr>
      <w:rFonts w:ascii="Calibri" w:hAnsi="Calibri" w:eastAsia="Calibri" w:cs="Arial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24" w:customStyle="1">
    <w:name w:val="Заголовок №2"/>
    <w:basedOn w:val="Normal"/>
    <w:qFormat/>
    <w:pPr>
      <w:shd w:val="clear" w:color="auto" w:fill="FFFFFF"/>
      <w:spacing w:lineRule="atLeast" w:line="240" w:before="360" w:after="180"/>
      <w:ind w:hanging="1300"/>
      <w:jc w:val="both"/>
      <w:outlineLvl w:val="1"/>
    </w:pPr>
    <w:rPr>
      <w:rFonts w:ascii="Calibri" w:hAnsi="Calibri" w:eastAsia="Calibri" w:cs="Arial" w:asciiTheme="minorHAnsi" w:cstheme="minorBidi" w:eastAsiaTheme="minorHAnsi" w:hAnsiTheme="minorHAnsi"/>
      <w:b/>
      <w:bCs/>
      <w:sz w:val="23"/>
      <w:szCs w:val="23"/>
      <w:lang w:eastAsia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Default" w:customStyle="1">
    <w:name w:val="Default"/>
    <w:basedOn w:val="Normal"/>
    <w:qFormat/>
    <w:pPr/>
    <w:rPr>
      <w:rFonts w:eastAsia="Calibri" w:eastAsiaTheme="minorHAnsi"/>
      <w:color w:val="000000"/>
    </w:rPr>
  </w:style>
  <w:style w:type="paragraph" w:styleId="14" w:customStyle="1">
    <w:name w:val="Заголовок 1 ДИТ"/>
    <w:basedOn w:val="Normal"/>
    <w:qFormat/>
    <w:pPr>
      <w:numPr>
        <w:ilvl w:val="0"/>
        <w:numId w:val="1"/>
      </w:numPr>
      <w:jc w:val="center"/>
    </w:pPr>
    <w:rPr>
      <w:b/>
      <w:sz w:val="28"/>
      <w:szCs w:val="28"/>
    </w:rPr>
  </w:style>
  <w:style w:type="paragraph" w:styleId="25" w:customStyle="1">
    <w:name w:val="Заголовок 2 ДИТ"/>
    <w:basedOn w:val="Normal"/>
    <w:qFormat/>
    <w:pPr>
      <w:numPr>
        <w:ilvl w:val="1"/>
        <w:numId w:val="1"/>
      </w:numPr>
    </w:pPr>
    <w:rPr>
      <w:b/>
    </w:rPr>
  </w:style>
  <w:style w:type="paragraph" w:styleId="31" w:customStyle="1">
    <w:name w:val="Заголовок 3 ДИТ"/>
    <w:basedOn w:val="25"/>
    <w:qFormat/>
    <w:pPr/>
    <w:rPr>
      <w:b w:val="false"/>
    </w:rPr>
  </w:style>
  <w:style w:type="paragraph" w:styleId="26" w:customStyle="1">
    <w:name w:val="Основной текст (2)"/>
    <w:basedOn w:val="Normal"/>
    <w:qFormat/>
    <w:pPr>
      <w:widowControl w:val="false"/>
      <w:shd w:val="clear" w:color="auto" w:fill="FFFFFF"/>
      <w:spacing w:lineRule="exact" w:line="274" w:before="300" w:after="0"/>
      <w:jc w:val="both"/>
    </w:pPr>
    <w:rPr>
      <w:sz w:val="22"/>
      <w:szCs w:val="22"/>
      <w:lang w:eastAsia="en-US"/>
    </w:rPr>
  </w:style>
  <w:style w:type="paragraph" w:styleId="Msolistparagraph" w:customStyle="1">
    <w:name w:val="msolistparagraph"/>
    <w:basedOn w:val="Normal"/>
    <w:qFormat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11" w:customStyle="1">
    <w:name w:val="Таблица шапка"/>
    <w:qFormat/>
    <w:pPr>
      <w:keepNext w:val="true"/>
      <w:widowControl/>
      <w:bidi w:val="0"/>
      <w:spacing w:before="40" w:after="40"/>
      <w:ind w:left="57" w:right="57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6"/>
      <w:lang w:eastAsia="ru-RU" w:val="ru-RU" w:bidi="ar-SA"/>
    </w:rPr>
  </w:style>
  <w:style w:type="paragraph" w:styleId="NormalWeb">
    <w:name w:val="Normal (Web)"/>
    <w:basedOn w:val="TOC3"/>
    <w:uiPriority w:val="99"/>
    <w:unhideWhenUsed/>
    <w:qFormat/>
    <w:pPr>
      <w:spacing w:beforeAutospacing="1" w:afterAutospacing="1"/>
      <w:ind w:left="0" w:hanging="0"/>
    </w:pPr>
    <w:rPr/>
  </w:style>
  <w:style w:type="paragraph" w:styleId="Style12" w:customStyle="1">
    <w:name w:val="Таблица"/>
    <w:basedOn w:val="Caption1"/>
    <w:qFormat/>
    <w:pPr>
      <w:keepNext w:val="true"/>
      <w:spacing w:lineRule="auto" w:line="240" w:before="60" w:after="60"/>
      <w:jc w:val="center"/>
    </w:pPr>
    <w:rPr>
      <w:rFonts w:eastAsia="Calibri"/>
      <w:bCs w:val="false"/>
      <w:color w:val="auto"/>
      <w:sz w:val="24"/>
      <w:szCs w:val="24"/>
    </w:rPr>
  </w:style>
  <w:style w:type="paragraph" w:styleId="15" w:customStyle="1">
    <w:name w:val="Абзац списка1"/>
    <w:uiPriority w:val="34"/>
    <w:qFormat/>
    <w:pPr>
      <w:widowControl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AlterOffice/2025.3.1.0$Linux_X86_64 LibreOffice_project/431cd1b79110582f53535c95ed0a2449aadc8bf9</Application>
  <AppVersion>15.0000</AppVersion>
  <Pages>5</Pages>
  <Words>715</Words>
  <Characters>4542</Characters>
  <CharactersWithSpaces>5122</CharactersWithSpaces>
  <Paragraphs>95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2026-06-29T11:16:00Z</dcterms:created>
  <dc:creator>Горбачев Андрей</dc:creator>
  <dc:description/>
  <dc:language>ru-RU</dc:language>
  <cp:lastModifiedBy>melnikovaod</cp:lastModifiedBy>
  <dcterms:modified xsi:type="dcterms:W3CDTF">2026-06-29T17:33:58Z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0x010100E86E64457F725B47A95CB13A6CABBE66</vt:lpwstr>
  </property>
  <property fmtid="{D5CDD505-2E9C-101B-9397-08002B2CF9AE}" pid="3" name="_dlc_DocIdItemGuid">
    <vt:lpwstr>6843b005-34af-4d5b-bbe8-d9513e10cefc</vt:lpwstr>
  </property>
</Properties>
</file>