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9.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r>
      <w:bookmarkStart w:id="0" w:name="OLE_LINK2"/>
      <w:bookmarkStart w:id="1" w:name="OLE_LINK1"/>
      <w:r>
        <w:rPr>
          <w:lang w:val="ru-RU"/>
        </w:rPr>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w:t>
      </w:r>
      <w:r>
        <w:rPr>
          <w:sz w:val="24"/>
          <w:szCs w:val="24"/>
          <w:lang w:val="ru-RU"/>
        </w:rPr>
        <w:t>(АО «ТК РусГидро»), именуемое в дальнейшем «</w:t>
      </w:r>
      <w:r>
        <w:rPr>
          <w:b/>
          <w:sz w:val="24"/>
          <w:szCs w:val="24"/>
          <w:lang w:val="ru-RU"/>
        </w:rPr>
        <w:t>Заказчик</w:t>
      </w:r>
      <w:r>
        <w:rPr>
          <w:sz w:val="24"/>
          <w:szCs w:val="24"/>
          <w:lang w:val="ru-RU"/>
        </w:rPr>
        <w:t xml:space="preserve">», в лице 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2"/>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2"/>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2"/>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2"/>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2"/>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0"/>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0"/>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0"/>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0"/>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0"/>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6"/>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6"/>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6"/>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6"/>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6"/>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6"/>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6"/>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6"/>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6"/>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6"/>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6"/>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6"/>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6"/>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16"/>
        </w:numPr>
        <w:tabs>
          <w:tab w:val="clear" w:pos="709"/>
          <w:tab w:val="left" w:pos="1418" w:leader="none"/>
        </w:tabs>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5 к Договору</w:t>
      </w:r>
      <w:r>
        <w:rPr>
          <w:rStyle w:val="FootnoteReference"/>
          <w:bCs/>
          <w:highlight w:val="lightGray"/>
        </w:rPr>
        <w:footnoteReference w:id="3"/>
      </w:r>
      <w:r>
        <w:rPr>
          <w:bCs/>
        </w:rPr>
        <w:t>.</w:t>
      </w:r>
    </w:p>
    <w:p>
      <w:pPr>
        <w:pStyle w:val="ListParagraph"/>
        <w:numPr>
          <w:ilvl w:val="1"/>
          <w:numId w:val="16"/>
        </w:numPr>
        <w:shd w:val="clear" w:color="auto" w:fill="FFFFFF"/>
        <w:tabs>
          <w:tab w:val="clear" w:pos="709"/>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4"/>
      </w:r>
      <w:r>
        <w:rPr>
          <w:bCs/>
          <w:highlight w:val="lightGray"/>
          <w:u w:val="single"/>
        </w:rPr>
        <w:t>:</w:t>
      </w:r>
    </w:p>
    <w:p>
      <w:pPr>
        <w:pStyle w:val="ListParagraph"/>
        <w:numPr>
          <w:ilvl w:val="2"/>
          <w:numId w:val="16"/>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
          <w:highlight w:val="lightGray"/>
        </w:rPr>
        <w:t xml:space="preserve"> </w:t>
      </w:r>
    </w:p>
    <w:p>
      <w:pPr>
        <w:pStyle w:val="ListParagraph"/>
        <w:numPr>
          <w:ilvl w:val="2"/>
          <w:numId w:val="16"/>
        </w:numPr>
        <w:tabs>
          <w:tab w:val="left" w:pos="709" w:leader="none"/>
          <w:tab w:val="left" w:pos="851" w:leader="none"/>
          <w:tab w:val="left" w:pos="1418"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16"/>
        </w:numPr>
        <w:tabs>
          <w:tab w:val="left" w:pos="709" w:leader="none"/>
          <w:tab w:val="left" w:pos="851" w:leader="none"/>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5 к Договору</w:t>
      </w:r>
      <w:r>
        <w:rPr>
          <w:rStyle w:val="FootnoteReference"/>
          <w:highlight w:val="lightGray"/>
        </w:rPr>
        <w:footnoteReference w:id="5"/>
      </w:r>
      <w:r>
        <w:rPr>
          <w:highlight w:val="lightGray"/>
        </w:rPr>
        <w:t>.</w:t>
      </w:r>
    </w:p>
    <w:p>
      <w:pPr>
        <w:pStyle w:val="ListParagraph"/>
        <w:numPr>
          <w:ilvl w:val="1"/>
          <w:numId w:val="16"/>
        </w:numPr>
        <w:tabs>
          <w:tab w:val="left" w:pos="709" w:leader="none"/>
          <w:tab w:val="left" w:pos="851" w:leader="none"/>
          <w:tab w:val="left" w:pos="1418"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21"/>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1"/>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8"/>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7"/>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7"/>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7"/>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8"/>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8"/>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8"/>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8"/>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8"/>
        <w:numPr>
          <w:ilvl w:val="1"/>
          <w:numId w:val="18"/>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8"/>
        <w:numPr>
          <w:ilvl w:val="1"/>
          <w:numId w:val="18"/>
        </w:numPr>
        <w:tabs>
          <w:tab w:val="clear" w:pos="709"/>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6"/>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19"/>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9"/>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9"/>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7"/>
      </w:r>
      <w:r>
        <w:rPr>
          <w:highlight w:val="lightGray"/>
        </w:rPr>
        <w:t xml:space="preserve"> / 45 (сорока пяти) календарных дней</w:t>
      </w:r>
      <w:r>
        <w:rPr>
          <w:rStyle w:val="FootnoteReference"/>
          <w:highlight w:val="lightGray"/>
        </w:rPr>
        <w:footnoteReference w:id="8"/>
      </w:r>
      <w:r>
        <w:rPr>
          <w:highlight w:val="lightGray"/>
        </w:rPr>
        <w:t xml:space="preserve"> / 7 (семи) рабочих дней</w:t>
      </w:r>
      <w:r>
        <w:rPr>
          <w:rStyle w:val="FootnoteReference"/>
          <w:highlight w:val="lightGray"/>
        </w:rPr>
        <w:footnoteReference w:id="9"/>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19"/>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19"/>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9"/>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9"/>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19"/>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19"/>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9"/>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19"/>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2"/>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2"/>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2"/>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2"/>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2"/>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2"/>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2"/>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2"/>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12"/>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0"/>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0"/>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0"/>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0"/>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0"/>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0"/>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0"/>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3"/>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1"/>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1"/>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1"/>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1"/>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1"/>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bCs/>
        </w:rPr>
      </w:pPr>
      <w:r>
        <w:rPr>
          <w:bCs/>
        </w:rPr>
        <w:t>бизнес-планы;</w:t>
      </w:r>
    </w:p>
    <w:p>
      <w:pPr>
        <w:pStyle w:val="Normal"/>
        <w:numPr>
          <w:ilvl w:val="0"/>
          <w:numId w:val="3"/>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pPr>
        <w:pStyle w:val="ListParagraph"/>
        <w:numPr>
          <w:ilvl w:val="1"/>
          <w:numId w:val="21"/>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21"/>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1"/>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1"/>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1"/>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1"/>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1"/>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1"/>
        </w:numPr>
        <w:tabs>
          <w:tab w:val="clear" w:pos="709"/>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21"/>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1"/>
        </w:numPr>
        <w:tabs>
          <w:tab w:val="clear" w:pos="709"/>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21"/>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1"/>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1"/>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1"/>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1"/>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w:t>
      </w:r>
    </w:p>
    <w:p>
      <w:pPr>
        <w:pStyle w:val="ListParagraph"/>
        <w:numPr>
          <w:ilvl w:val="1"/>
          <w:numId w:val="21"/>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1"/>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1"/>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1"/>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1"/>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1"/>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1"/>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1"/>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1"/>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1"/>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1"/>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1"/>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1"/>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1"/>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1"/>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1"/>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1"/>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1"/>
        </w:numPr>
        <w:shd w:val="clear" w:color="auto" w:fill="FFFFFF"/>
        <w:tabs>
          <w:tab w:val="clear" w:pos="709"/>
          <w:tab w:val="left" w:pos="1134" w:leader="none"/>
        </w:tabs>
        <w:ind w:left="0" w:firstLine="709"/>
        <w:jc w:val="both"/>
        <w:rPr>
          <w:bCs/>
        </w:rPr>
      </w:pPr>
      <w:bookmarkStart w:id="11"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1"/>
    </w:p>
    <w:p>
      <w:pPr>
        <w:pStyle w:val="ListParagraph"/>
        <w:numPr>
          <w:ilvl w:val="1"/>
          <w:numId w:val="21"/>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1"/>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1"/>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1"/>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6"/>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1"/>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8"/>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8"/>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1"/>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1"/>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1"/>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1"/>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1"/>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1"/>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1"/>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1"/>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5"/>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5"/>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5"/>
        </w:numPr>
        <w:tabs>
          <w:tab w:val="clear" w:pos="709"/>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5"/>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5"/>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5"/>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5"/>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1"/>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1"/>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1"/>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1"/>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1"/>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1"/>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21"/>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1"/>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1"/>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1"/>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1"/>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1"/>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bookmarkStart w:id="12" w:name="_Ref361338032"/>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1"/>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1"/>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1"/>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1"/>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5"/>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tabs>
                <w:tab w:val="clear" w:pos="709"/>
                <w:tab w:val="left" w:pos="4287" w:leader="none"/>
              </w:tabs>
              <w:spacing w:before="0" w:after="0"/>
              <w:ind w:left="34" w:right="104" w:hanging="0"/>
              <w:contextualSpacing/>
              <w:rPr>
                <w:b/>
                <w:lang w:val="ru-RU"/>
              </w:rPr>
            </w:pPr>
            <w:r>
              <w:rPr>
                <w:b/>
                <w:lang w:val="ru-RU"/>
              </w:rPr>
            </w:r>
          </w:p>
          <w:p>
            <w:pPr>
              <w:pStyle w:val="Normal"/>
              <w:widowControl w:val="false"/>
              <w:rPr>
                <w:b/>
                <w:lang w:val="ru-RU" w:eastAsia="en-US"/>
              </w:rPr>
            </w:pPr>
            <w:r>
              <w:rPr>
                <w:b/>
                <w:lang w:val="ru-RU" w:eastAsia="en-US"/>
              </w:rPr>
              <w:t>Акционерное общество</w:t>
            </w:r>
          </w:p>
          <w:p>
            <w:pPr>
              <w:pStyle w:val="Normal"/>
              <w:widowControl w:val="false"/>
              <w:rPr>
                <w:b/>
                <w:lang w:val="ru-RU" w:eastAsia="en-US"/>
              </w:rPr>
            </w:pPr>
            <w:r>
              <w:rPr>
                <w:b/>
                <w:lang w:val="ru-RU" w:eastAsia="en-US"/>
              </w:rPr>
              <w:t>«Транспортная компания РусГидро»</w:t>
            </w:r>
          </w:p>
          <w:p>
            <w:pPr>
              <w:pStyle w:val="Normal"/>
              <w:widowControl w:val="false"/>
              <w:rPr>
                <w:b/>
                <w:u w:val="single"/>
                <w:lang w:val="ru-RU" w:eastAsia="en-US"/>
              </w:rPr>
            </w:pPr>
            <w:r>
              <w:rPr>
                <w:b/>
                <w:lang w:val="ru-RU" w:eastAsia="en-US"/>
              </w:rPr>
              <w:t>(АО «ТК РусГидро»)</w:t>
            </w:r>
          </w:p>
          <w:p>
            <w:pPr>
              <w:pStyle w:val="Normal"/>
              <w:widowControl w:val="false"/>
              <w:rPr>
                <w:lang w:val="ru-RU"/>
              </w:rPr>
            </w:pPr>
            <w:r>
              <w:rPr>
                <w:lang w:val="ru-RU"/>
              </w:rPr>
              <w:t>Юридический адрес: 655619, Республика Хакасия, г. Саяногорск, рп. Черемушки, дом 101;</w:t>
            </w:r>
          </w:p>
          <w:p>
            <w:pPr>
              <w:pStyle w:val="Normal"/>
              <w:widowControl w:val="false"/>
              <w:rPr>
                <w:lang w:val="ru-RU"/>
              </w:rPr>
            </w:pPr>
            <w:r>
              <w:rPr>
                <w:lang w:val="ru-RU"/>
              </w:rPr>
              <w:t>ОГРН: 1031900676356;</w:t>
            </w:r>
          </w:p>
          <w:p>
            <w:pPr>
              <w:pStyle w:val="Normal"/>
              <w:widowControl w:val="false"/>
              <w:rPr>
                <w:lang w:val="ru-RU"/>
              </w:rPr>
            </w:pPr>
            <w:r>
              <w:rPr>
                <w:lang w:val="ru-RU"/>
              </w:rPr>
              <w:t>ИНН: 1902018248; КПП: 190201001;</w:t>
            </w:r>
          </w:p>
          <w:p>
            <w:pPr>
              <w:pStyle w:val="Normal"/>
              <w:widowControl w:val="false"/>
              <w:rPr>
                <w:rFonts w:eastAsia="Calibri"/>
                <w:lang w:val="ru-RU" w:eastAsia="en-US"/>
              </w:rPr>
            </w:pPr>
            <w:r>
              <w:rPr>
                <w:rFonts w:eastAsia="Calibri"/>
                <w:b/>
                <w:lang w:val="ru-RU" w:eastAsia="en-US"/>
              </w:rPr>
              <w:t>р/с</w:t>
            </w:r>
            <w:r>
              <w:rPr>
                <w:rFonts w:eastAsia="Calibri"/>
                <w:lang w:val="ru-RU" w:eastAsia="en-US"/>
              </w:rPr>
              <w:t xml:space="preserve"> 40702810795000000002</w:t>
            </w:r>
          </w:p>
          <w:p>
            <w:pPr>
              <w:pStyle w:val="Normal"/>
              <w:widowControl w:val="false"/>
              <w:rPr>
                <w:rFonts w:eastAsia="Calibri"/>
                <w:lang w:val="ru-RU" w:eastAsia="en-US"/>
              </w:rPr>
            </w:pPr>
            <w:r>
              <w:rPr>
                <w:rFonts w:eastAsia="Calibri"/>
                <w:lang w:val="ru-RU" w:eastAsia="en-US"/>
              </w:rPr>
              <w:t xml:space="preserve">«Газпромбанк» (Акционерное общество) </w:t>
            </w:r>
          </w:p>
          <w:p>
            <w:pPr>
              <w:pStyle w:val="Normal"/>
              <w:widowControl w:val="false"/>
              <w:rPr>
                <w:rFonts w:eastAsia="Calibri"/>
                <w:lang w:val="ru-RU" w:eastAsia="en-US"/>
              </w:rPr>
            </w:pPr>
            <w:r>
              <w:rPr>
                <w:rFonts w:eastAsia="Calibri"/>
                <w:lang w:val="ru-RU" w:eastAsia="en-US"/>
              </w:rPr>
              <w:t xml:space="preserve">ГПБ (АО) г. Москва </w:t>
            </w:r>
          </w:p>
          <w:p>
            <w:pPr>
              <w:pStyle w:val="Normal"/>
              <w:widowControl w:val="false"/>
              <w:rPr>
                <w:rFonts w:eastAsia="Calibri"/>
                <w:lang w:val="ru-RU" w:eastAsia="en-US"/>
              </w:rPr>
            </w:pPr>
            <w:r>
              <w:rPr>
                <w:rFonts w:eastAsia="Calibri"/>
                <w:b/>
                <w:lang w:val="ru-RU" w:eastAsia="en-US"/>
              </w:rPr>
              <w:t>к/с</w:t>
            </w:r>
            <w:r>
              <w:rPr>
                <w:rFonts w:eastAsia="Calibri"/>
                <w:lang w:val="ru-RU" w:eastAsia="en-US"/>
              </w:rPr>
              <w:t xml:space="preserve"> 30101810200000000823 </w:t>
            </w:r>
          </w:p>
          <w:p>
            <w:pPr>
              <w:pStyle w:val="Normal"/>
              <w:widowControl w:val="false"/>
              <w:rPr>
                <w:rFonts w:eastAsia="Calibri"/>
                <w:lang w:val="ru-RU" w:eastAsia="en-US"/>
              </w:rPr>
            </w:pPr>
            <w:r>
              <w:rPr>
                <w:rFonts w:eastAsia="Calibri"/>
                <w:b/>
                <w:lang w:val="ru-RU" w:eastAsia="en-US"/>
              </w:rPr>
              <w:t>БИК</w:t>
            </w:r>
            <w:r>
              <w:rPr>
                <w:rFonts w:eastAsia="Calibri"/>
                <w:lang w:val="ru-RU" w:eastAsia="en-US"/>
              </w:rPr>
              <w:t xml:space="preserve"> 044525823</w:t>
            </w:r>
          </w:p>
          <w:p>
            <w:pPr>
              <w:pStyle w:val="Normal"/>
              <w:widowControl w:val="false"/>
              <w:tabs>
                <w:tab w:val="clear" w:pos="709"/>
                <w:tab w:val="left" w:pos="4287" w:leader="none"/>
              </w:tabs>
              <w:spacing w:before="0" w:after="0"/>
              <w:ind w:left="34" w:right="104" w:hanging="0"/>
              <w:contextualSpacing/>
              <w:rPr>
                <w:b/>
                <w:lang w:val="ru-RU" w:eastAsia="en-US"/>
              </w:rPr>
            </w:pPr>
            <w:r>
              <w:rPr>
                <w:b/>
                <w:lang w:val="ru-RU" w:eastAsia="en-US"/>
              </w:rPr>
            </w:r>
          </w:p>
          <w:p>
            <w:pPr>
              <w:pStyle w:val="Normal"/>
              <w:widowControl w:val="false"/>
              <w:tabs>
                <w:tab w:val="clear" w:pos="709"/>
                <w:tab w:val="left" w:pos="4287" w:leader="none"/>
              </w:tabs>
              <w:spacing w:before="0" w:after="0"/>
              <w:ind w:left="34" w:right="104" w:hanging="0"/>
              <w:contextualSpacing/>
              <w:rPr>
                <w:b/>
                <w:bCs/>
                <w:lang w:val="ru-RU" w:eastAsia="en-US"/>
              </w:rPr>
            </w:pPr>
            <w:r>
              <w:rPr>
                <w:b/>
                <w:lang w:val="ru-RU" w:eastAsia="en-US"/>
              </w:rPr>
              <w:t xml:space="preserve">Камчатский филиал </w:t>
            </w:r>
          </w:p>
          <w:p>
            <w:pPr>
              <w:pStyle w:val="Normal"/>
              <w:widowControl w:val="false"/>
              <w:tabs>
                <w:tab w:val="clear" w:pos="709"/>
                <w:tab w:val="left" w:pos="4287" w:leader="none"/>
              </w:tabs>
              <w:spacing w:before="0" w:after="0"/>
              <w:ind w:left="34" w:right="104" w:hanging="0"/>
              <w:contextualSpacing/>
              <w:rPr>
                <w:b/>
                <w:u w:val="single"/>
                <w:lang w:val="ru-RU" w:eastAsia="en-US"/>
              </w:rPr>
            </w:pPr>
            <w:r>
              <w:rPr>
                <w:b/>
                <w:lang w:val="ru-RU" w:eastAsia="en-US"/>
              </w:rPr>
              <w:t>АО «ТК РусГидро»</w:t>
            </w:r>
          </w:p>
          <w:p>
            <w:pPr>
              <w:pStyle w:val="Normal"/>
              <w:widowControl w:val="false"/>
              <w:spacing w:before="0" w:after="0"/>
              <w:ind w:left="29" w:hanging="0"/>
              <w:contextualSpacing/>
              <w:rPr>
                <w:color w:val="000000"/>
              </w:rPr>
            </w:pPr>
            <w:r>
              <w:rPr>
                <w:color w:val="000000"/>
                <w:lang w:val="ru-RU"/>
              </w:rPr>
              <w:t xml:space="preserve">Почтовый адрес: 683032, Камчатский край, г. Петропавловск-Камчатский, ул. </w:t>
            </w:r>
            <w:r>
              <w:rPr>
                <w:color w:val="000000"/>
              </w:rPr>
              <w:t>Пограничная, д. 14а;</w:t>
            </w:r>
          </w:p>
          <w:p>
            <w:pPr>
              <w:pStyle w:val="Normal"/>
              <w:widowControl w:val="false"/>
              <w:spacing w:before="0" w:after="0"/>
              <w:ind w:left="29" w:hanging="0"/>
              <w:contextualSpacing/>
              <w:rPr>
                <w:color w:val="000000"/>
              </w:rPr>
            </w:pPr>
            <w:r>
              <w:rPr>
                <w:b/>
                <w:bCs/>
                <w:color w:val="000000"/>
                <w:u w:val="single"/>
                <w:lang w:val="ru-RU"/>
              </w:rPr>
              <w:t>ИНН: 1902018248; КПП: 410143001</w:t>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sz w:val="20"/>
                <w:szCs w:val="20"/>
                <w:lang w:val="ru-RU"/>
              </w:rPr>
            </w:pPr>
            <w:r>
              <w:rPr>
                <w:sz w:val="20"/>
                <w:szCs w:val="20"/>
                <w:lang w:val="ru-RU"/>
              </w:rPr>
            </w:r>
          </w:p>
          <w:p>
            <w:pPr>
              <w:pStyle w:val="Normal"/>
              <w:widowControl w:val="false"/>
              <w:jc w:val="both"/>
              <w:rPr>
                <w:bCs/>
                <w:lang w:val="ru-RU"/>
              </w:rPr>
            </w:pPr>
            <w:r>
              <w:rPr>
                <w:bCs/>
                <w:lang w:val="ru-RU"/>
              </w:rPr>
              <w:t>Директор Камчатского филиала</w:t>
            </w:r>
          </w:p>
          <w:p>
            <w:pPr>
              <w:pStyle w:val="Normal"/>
              <w:widowControl w:val="false"/>
              <w:rPr>
                <w:color w:val="000000"/>
                <w:lang w:val="ru-RU"/>
              </w:rPr>
            </w:pPr>
            <w:r>
              <w:rPr>
                <w:bCs/>
                <w:lang w:val="ru-RU"/>
              </w:rPr>
              <w:t>АО «ТК РусГидро»</w:t>
            </w:r>
          </w:p>
          <w:p>
            <w:pPr>
              <w:pStyle w:val="Normal"/>
              <w:widowControl w:val="false"/>
              <w:rPr>
                <w:lang w:val="ru-RU"/>
              </w:rPr>
            </w:pPr>
            <w:r>
              <w:rPr>
                <w:lang w:val="ru-RU"/>
              </w:rPr>
            </w:r>
          </w:p>
          <w:p>
            <w:pPr>
              <w:pStyle w:val="Normal"/>
              <w:widowControl w:val="false"/>
              <w:rPr>
                <w:lang w:val="ru-RU"/>
              </w:rPr>
            </w:pPr>
            <w:r>
              <w:rPr>
                <w:lang w:val="ru-RU"/>
              </w:rPr>
              <w:t xml:space="preserve">__________________ </w:t>
            </w:r>
          </w:p>
          <w:p>
            <w:pPr>
              <w:pStyle w:val="Normal"/>
              <w:widowControl w:val="false"/>
              <w:rPr>
                <w:color w:val="000000"/>
                <w:lang w:val="ru-RU"/>
              </w:rPr>
            </w:pPr>
            <w:r>
              <w:rPr>
                <w:lang w:val="ru-RU"/>
              </w:rPr>
              <w:t>м.п.</w:t>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keepNext w:val="true"/>
        <w:keepLines/>
        <w:numPr>
          <w:ilvl w:val="0"/>
          <w:numId w:val="24"/>
        </w:numPr>
        <w:tabs>
          <w:tab w:val="clear" w:pos="709"/>
          <w:tab w:val="left" w:pos="0" w:leader="none"/>
        </w:tabs>
        <w:suppressAutoHyphens w:val="true"/>
        <w:spacing w:before="120" w:after="60"/>
        <w:ind w:left="357" w:hanging="357"/>
        <w:jc w:val="center"/>
        <w:outlineLvl w:val="0"/>
        <w:rPr>
          <w:rFonts w:eastAsia="Calibri"/>
          <w:b/>
          <w:caps/>
          <w:sz w:val="28"/>
          <w:szCs w:val="28"/>
          <w:lang w:val="ru-RU" w:eastAsia="x-none"/>
        </w:rPr>
      </w:pPr>
      <w:bookmarkStart w:id="14" w:name="_Toc142558679"/>
      <w:r>
        <w:rPr>
          <w:rFonts w:eastAsia="Calibri"/>
          <w:b/>
          <w:sz w:val="28"/>
          <w:szCs w:val="28"/>
          <w:lang w:val="ru-RU" w:eastAsia="x-none"/>
        </w:rPr>
        <w:t>Общие сведения</w:t>
      </w:r>
      <w:bookmarkEnd w:id="14"/>
    </w:p>
    <w:p>
      <w:pPr>
        <w:pStyle w:val="Normal"/>
        <w:keepNext w:val="true"/>
        <w:numPr>
          <w:ilvl w:val="1"/>
          <w:numId w:val="26"/>
        </w:numPr>
        <w:suppressAutoHyphens w:val="true"/>
        <w:spacing w:before="120" w:after="60"/>
        <w:outlineLvl w:val="3"/>
        <w:rPr>
          <w:rFonts w:eastAsia="Calibri"/>
          <w:b/>
          <w:bCs/>
          <w:lang w:val="x-none" w:eastAsia="x-none"/>
        </w:rPr>
      </w:pPr>
      <w:bookmarkStart w:id="15" w:name="_Toc142558680"/>
      <w:bookmarkStart w:id="16" w:name="_Toc46743505"/>
      <w:r>
        <w:rPr>
          <w:rFonts w:eastAsia="Calibri"/>
          <w:b/>
          <w:bCs/>
          <w:lang w:val="x-none" w:eastAsia="x-none"/>
        </w:rPr>
        <w:t>Обозначения и сокращения</w:t>
      </w:r>
      <w:bookmarkEnd w:id="15"/>
      <w:bookmarkEnd w:id="16"/>
    </w:p>
    <w:p>
      <w:pPr>
        <w:pStyle w:val="Normal"/>
        <w:suppressAutoHyphens w:val="true"/>
        <w:rPr>
          <w:bCs/>
          <w:i/>
          <w:i/>
          <w:iCs/>
          <w:sz w:val="26"/>
          <w:szCs w:val="26"/>
          <w:shd w:fill="FFFF99" w:val="clear"/>
          <w:lang w:val="ru-RU"/>
        </w:rPr>
      </w:pPr>
      <w:r>
        <w:rPr>
          <w:bCs/>
          <w:i/>
          <w:iCs/>
          <w:sz w:val="26"/>
          <w:szCs w:val="26"/>
          <w:shd w:fill="FFFF99" w:val="clear"/>
          <w:lang w:val="ru-RU"/>
        </w:rPr>
      </w:r>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5"/>
        <w:gridCol w:w="7527"/>
      </w:tblGrid>
      <w:tr>
        <w:trPr>
          <w:cantSplit w:val="true"/>
        </w:trPr>
        <w:tc>
          <w:tcPr>
            <w:tcW w:w="225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numPr>
                <w:ilvl w:val="0"/>
                <w:numId w:val="0"/>
              </w:numPr>
              <w:suppressAutoHyphens w:val="true"/>
              <w:spacing w:before="120" w:after="60"/>
              <w:ind w:left="432" w:hanging="432"/>
              <w:jc w:val="center"/>
              <w:outlineLvl w:val="3"/>
              <w:rPr>
                <w:rFonts w:eastAsia="Calibri"/>
                <w:bCs/>
                <w:sz w:val="22"/>
                <w:szCs w:val="22"/>
                <w:lang w:val="x-none" w:eastAsia="x-none"/>
              </w:rPr>
            </w:pPr>
            <w:bookmarkStart w:id="17" w:name="_Toc142558681"/>
            <w:bookmarkStart w:id="18" w:name="_Toc135752676"/>
            <w:bookmarkStart w:id="19" w:name="_Toc135753769"/>
            <w:r>
              <w:rPr>
                <w:rFonts w:eastAsia="Calibri"/>
                <w:bCs/>
                <w:sz w:val="22"/>
                <w:szCs w:val="22"/>
                <w:lang w:val="x-none" w:eastAsia="x-none"/>
              </w:rPr>
              <w:t>АО «ТК РусГидро»</w:t>
            </w:r>
            <w:bookmarkEnd w:id="17"/>
            <w:bookmarkEnd w:id="18"/>
            <w:bookmarkEnd w:id="19"/>
          </w:p>
        </w:tc>
        <w:tc>
          <w:tcPr>
            <w:tcW w:w="752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numPr>
                <w:ilvl w:val="0"/>
                <w:numId w:val="0"/>
              </w:numPr>
              <w:suppressAutoHyphens w:val="true"/>
              <w:spacing w:before="120" w:after="60"/>
              <w:outlineLvl w:val="3"/>
              <w:rPr>
                <w:rFonts w:eastAsia="Calibri"/>
                <w:bCs/>
                <w:sz w:val="22"/>
                <w:szCs w:val="22"/>
                <w:lang w:val="x-none" w:eastAsia="x-none"/>
              </w:rPr>
            </w:pPr>
            <w:bookmarkStart w:id="20" w:name="_Toc135752677"/>
            <w:bookmarkStart w:id="21" w:name="_Toc135753770"/>
            <w:bookmarkStart w:id="22" w:name="_Toc142558682"/>
            <w:r>
              <w:rPr>
                <w:rFonts w:eastAsia="Calibri"/>
                <w:bCs/>
                <w:sz w:val="22"/>
                <w:szCs w:val="22"/>
                <w:lang w:val="x-none" w:eastAsia="x-none"/>
              </w:rPr>
              <w:t>Акционерное Общество «Транспортная компания РусГидро»</w:t>
            </w:r>
            <w:bookmarkEnd w:id="20"/>
            <w:bookmarkEnd w:id="21"/>
            <w:bookmarkEnd w:id="22"/>
          </w:p>
        </w:tc>
      </w:tr>
      <w:tr>
        <w:trPr>
          <w:cantSplit w:val="true"/>
        </w:trPr>
        <w:tc>
          <w:tcPr>
            <w:tcW w:w="225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numPr>
                <w:ilvl w:val="0"/>
                <w:numId w:val="0"/>
              </w:numPr>
              <w:suppressAutoHyphens w:val="true"/>
              <w:spacing w:before="120" w:after="60"/>
              <w:ind w:left="432" w:hanging="432"/>
              <w:jc w:val="center"/>
              <w:outlineLvl w:val="3"/>
              <w:rPr>
                <w:rFonts w:eastAsia="Calibri"/>
                <w:bCs/>
                <w:sz w:val="22"/>
                <w:szCs w:val="22"/>
                <w:lang w:val="ru-RU" w:eastAsia="x-none"/>
              </w:rPr>
            </w:pPr>
            <w:r>
              <w:rPr>
                <w:rFonts w:eastAsia="Calibri"/>
                <w:bCs/>
                <w:sz w:val="22"/>
                <w:szCs w:val="22"/>
                <w:lang w:val="ru-RU" w:eastAsia="x-none"/>
              </w:rPr>
              <w:t>ТС</w:t>
            </w:r>
          </w:p>
        </w:tc>
        <w:tc>
          <w:tcPr>
            <w:tcW w:w="752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numPr>
                <w:ilvl w:val="0"/>
                <w:numId w:val="0"/>
              </w:numPr>
              <w:suppressAutoHyphens w:val="true"/>
              <w:spacing w:before="120" w:after="60"/>
              <w:outlineLvl w:val="3"/>
              <w:rPr>
                <w:rFonts w:eastAsia="Calibri"/>
                <w:bCs/>
                <w:sz w:val="22"/>
                <w:szCs w:val="22"/>
                <w:lang w:val="ru-RU" w:eastAsia="x-none"/>
              </w:rPr>
            </w:pPr>
            <w:r>
              <w:rPr>
                <w:rFonts w:eastAsia="Calibri"/>
                <w:bCs/>
                <w:sz w:val="22"/>
                <w:szCs w:val="22"/>
                <w:lang w:val="ru-RU" w:eastAsia="x-none"/>
              </w:rPr>
              <w:t>Транспортное средство</w:t>
            </w:r>
          </w:p>
        </w:tc>
      </w:tr>
    </w:tbl>
    <w:p>
      <w:pPr>
        <w:pStyle w:val="Normal"/>
        <w:keepNext w:val="true"/>
        <w:keepLines/>
        <w:suppressAutoHyphens w:val="true"/>
        <w:rPr>
          <w:lang w:val="ru-RU"/>
        </w:rPr>
      </w:pPr>
      <w:r>
        <w:rPr>
          <w:lang w:val="ru-RU"/>
        </w:rPr>
      </w:r>
    </w:p>
    <w:p>
      <w:pPr>
        <w:pStyle w:val="Normal"/>
        <w:keepNext w:val="true"/>
        <w:numPr>
          <w:ilvl w:val="1"/>
          <w:numId w:val="26"/>
        </w:numPr>
        <w:suppressAutoHyphens w:val="true"/>
        <w:spacing w:before="120" w:after="60"/>
        <w:outlineLvl w:val="3"/>
        <w:rPr>
          <w:rFonts w:eastAsia="Calibri"/>
          <w:b/>
          <w:bCs/>
          <w:lang w:val="ru-RU" w:eastAsia="x-none"/>
        </w:rPr>
      </w:pPr>
      <w:bookmarkStart w:id="23" w:name="_Toc142558683"/>
      <w:r>
        <w:rPr>
          <w:rFonts w:eastAsia="Calibri"/>
          <w:b/>
          <w:bCs/>
          <w:lang w:val="x-none" w:eastAsia="x-none"/>
        </w:rPr>
        <w:t xml:space="preserve">Наименование </w:t>
      </w:r>
      <w:r>
        <w:rPr>
          <w:rFonts w:eastAsia="Calibri"/>
          <w:b/>
          <w:bCs/>
          <w:lang w:val="ru-RU" w:eastAsia="x-none"/>
        </w:rPr>
        <w:t>оказываемых услуг</w:t>
      </w:r>
      <w:bookmarkEnd w:id="23"/>
    </w:p>
    <w:p>
      <w:pPr>
        <w:pStyle w:val="Normal"/>
        <w:suppressAutoHyphens w:val="true"/>
        <w:rPr>
          <w:lang w:val="ru-RU" w:eastAsia="x-none"/>
        </w:rPr>
      </w:pPr>
      <w:bookmarkStart w:id="24" w:name="_Toc142558684"/>
      <w:r>
        <w:rPr>
          <w:lang w:val="ru-RU"/>
        </w:rPr>
        <w:t>Услуги по проведению технического осмотра транспортных средств на территории Камчатского края для нужд Камчатского филиала АО «ТК РусГидро»</w:t>
      </w:r>
    </w:p>
    <w:p>
      <w:pPr>
        <w:pStyle w:val="Normal"/>
        <w:keepNext w:val="true"/>
        <w:numPr>
          <w:ilvl w:val="1"/>
          <w:numId w:val="26"/>
        </w:numPr>
        <w:suppressAutoHyphens w:val="true"/>
        <w:spacing w:before="240" w:after="60"/>
        <w:ind w:left="431" w:hanging="431"/>
        <w:outlineLvl w:val="3"/>
        <w:rPr>
          <w:rFonts w:eastAsia="Calibri"/>
          <w:b/>
          <w:bCs/>
          <w:lang w:val="x-none" w:eastAsia="x-none"/>
        </w:rPr>
      </w:pPr>
      <w:bookmarkStart w:id="25" w:name="_Toc46743507"/>
      <w:r>
        <w:rPr>
          <w:rFonts w:eastAsia="Calibri"/>
          <w:b/>
          <w:bCs/>
          <w:lang w:val="x-none" w:eastAsia="x-none"/>
        </w:rPr>
        <w:t xml:space="preserve">Цель </w:t>
      </w:r>
      <w:bookmarkEnd w:id="25"/>
      <w:r>
        <w:rPr>
          <w:rFonts w:eastAsia="Calibri"/>
          <w:b/>
          <w:bCs/>
          <w:lang w:val="ru-RU" w:eastAsia="x-none"/>
        </w:rPr>
        <w:t>оказания услуг</w:t>
      </w:r>
      <w:bookmarkEnd w:id="24"/>
      <w:r>
        <w:rPr>
          <w:rFonts w:eastAsia="Calibri"/>
          <w:b/>
          <w:bCs/>
          <w:lang w:val="x-none" w:eastAsia="x-none"/>
        </w:rPr>
        <w:t xml:space="preserve"> </w:t>
      </w:r>
    </w:p>
    <w:p>
      <w:pPr>
        <w:pStyle w:val="Normal"/>
        <w:suppressAutoHyphens w:val="true"/>
        <w:rPr>
          <w:lang w:val="ru-RU" w:eastAsia="x-none"/>
        </w:rPr>
      </w:pPr>
      <w:r>
        <w:rPr>
          <w:lang w:val="ru-RU" w:eastAsia="x-none"/>
        </w:rPr>
        <w:t>Обеспечение гарантии беспрепятственного перемещения транспортных средств по дорогам общего пользования в соответствии с ПДД РФ.</w:t>
      </w:r>
    </w:p>
    <w:p>
      <w:pPr>
        <w:pStyle w:val="Normal"/>
        <w:keepNext w:val="true"/>
        <w:keepLines/>
        <w:numPr>
          <w:ilvl w:val="0"/>
          <w:numId w:val="0"/>
        </w:numPr>
        <w:suppressAutoHyphens w:val="true"/>
        <w:spacing w:before="240" w:after="60"/>
        <w:outlineLvl w:val="0"/>
        <w:rPr>
          <w:rFonts w:eastAsia="Calibri"/>
          <w:b/>
          <w:lang w:val="ru-RU" w:eastAsia="x-none"/>
        </w:rPr>
      </w:pPr>
      <w:bookmarkStart w:id="26" w:name="_Toc142558685"/>
      <w:r>
        <w:rPr>
          <w:rFonts w:eastAsia="Calibri"/>
          <w:b/>
          <w:lang w:val="x-none" w:eastAsia="x-none"/>
        </w:rPr>
        <w:t>Таблица 1</w:t>
      </w:r>
      <w:r>
        <w:rPr>
          <w:rFonts w:eastAsia="Calibri"/>
          <w:b/>
          <w:lang w:val="ru-RU" w:eastAsia="x-none"/>
        </w:rPr>
        <w:t>.</w:t>
      </w:r>
      <w:r>
        <w:rPr>
          <w:rFonts w:eastAsia="Calibri"/>
          <w:b/>
          <w:lang w:val="x-none" w:eastAsia="x-none"/>
        </w:rPr>
        <w:t xml:space="preserve"> </w:t>
      </w:r>
      <w:r>
        <w:rPr>
          <w:rFonts w:eastAsia="Calibri"/>
          <w:b/>
          <w:lang w:val="ru-RU" w:eastAsia="x-none"/>
        </w:rPr>
        <w:t>Перечень объектов заказчика</w:t>
      </w:r>
      <w:bookmarkEnd w:id="26"/>
    </w:p>
    <w:tbl>
      <w:tblPr>
        <w:tblW w:w="10065" w:type="dxa"/>
        <w:jc w:val="left"/>
        <w:tblInd w:w="-11" w:type="dxa"/>
        <w:tblLayout w:type="fixed"/>
        <w:tblCellMar>
          <w:top w:w="0" w:type="dxa"/>
          <w:left w:w="108" w:type="dxa"/>
          <w:bottom w:w="0" w:type="dxa"/>
          <w:right w:w="108" w:type="dxa"/>
        </w:tblCellMar>
        <w:tblLook w:val="04a0" w:noHBand="0" w:noVBand="1" w:firstColumn="1" w:lastRow="0" w:lastColumn="0" w:firstRow="1"/>
      </w:tblPr>
      <w:tblGrid>
        <w:gridCol w:w="594"/>
        <w:gridCol w:w="1747"/>
        <w:gridCol w:w="1485"/>
        <w:gridCol w:w="2128"/>
        <w:gridCol w:w="1556"/>
        <w:gridCol w:w="1275"/>
        <w:gridCol w:w="1279"/>
      </w:tblGrid>
      <w:tr>
        <w:trPr>
          <w:trHeight w:val="1875" w:hRule="atLeast"/>
        </w:trPr>
        <w:tc>
          <w:tcPr>
            <w:tcW w:w="59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uppressAutoHyphens w:val="true"/>
              <w:jc w:val="center"/>
              <w:rPr>
                <w:color w:val="000000"/>
                <w:sz w:val="20"/>
                <w:szCs w:val="20"/>
                <w:lang w:val="ru-RU"/>
              </w:rPr>
            </w:pPr>
            <w:r>
              <w:rPr>
                <w:color w:val="000000"/>
                <w:sz w:val="20"/>
                <w:szCs w:val="20"/>
                <w:lang w:val="ru-RU"/>
              </w:rPr>
              <w:t xml:space="preserve">№ </w:t>
            </w:r>
            <w:r>
              <w:rPr>
                <w:color w:val="000000"/>
                <w:sz w:val="20"/>
                <w:szCs w:val="20"/>
                <w:lang w:val="ru-RU"/>
              </w:rPr>
              <w:t>п/п</w:t>
            </w:r>
          </w:p>
        </w:tc>
        <w:tc>
          <w:tcPr>
            <w:tcW w:w="1747" w:type="dxa"/>
            <w:tcBorders>
              <w:top w:val="single" w:sz="8" w:space="0" w:color="000000"/>
              <w:bottom w:val="single" w:sz="8" w:space="0" w:color="000000"/>
              <w:right w:val="single" w:sz="8" w:space="0" w:color="000000"/>
            </w:tcBorders>
            <w:shd w:color="auto" w:fill="auto" w:val="clear"/>
            <w:vAlign w:val="center"/>
          </w:tcPr>
          <w:p>
            <w:pPr>
              <w:pStyle w:val="Normal"/>
              <w:widowControl w:val="false"/>
              <w:suppressAutoHyphens w:val="true"/>
              <w:jc w:val="center"/>
              <w:rPr>
                <w:color w:val="000000"/>
                <w:sz w:val="20"/>
                <w:szCs w:val="20"/>
                <w:lang w:val="ru-RU"/>
              </w:rPr>
            </w:pPr>
            <w:r>
              <w:rPr>
                <w:color w:val="000000"/>
                <w:sz w:val="20"/>
                <w:szCs w:val="20"/>
                <w:lang w:val="ru-RU"/>
              </w:rPr>
              <w:t>Наименование объекта</w:t>
            </w:r>
          </w:p>
        </w:tc>
        <w:tc>
          <w:tcPr>
            <w:tcW w:w="1485" w:type="dxa"/>
            <w:tcBorders>
              <w:top w:val="single" w:sz="8" w:space="0" w:color="000000"/>
              <w:bottom w:val="single" w:sz="8" w:space="0" w:color="000000"/>
              <w:right w:val="single" w:sz="8" w:space="0" w:color="000000"/>
            </w:tcBorders>
            <w:shd w:color="auto" w:fill="auto" w:val="clear"/>
            <w:vAlign w:val="center"/>
          </w:tcPr>
          <w:p>
            <w:pPr>
              <w:pStyle w:val="Normal"/>
              <w:widowControl w:val="false"/>
              <w:suppressAutoHyphens w:val="true"/>
              <w:jc w:val="center"/>
              <w:rPr>
                <w:color w:val="000000"/>
                <w:sz w:val="20"/>
                <w:szCs w:val="20"/>
                <w:lang w:val="ru-RU"/>
              </w:rPr>
            </w:pPr>
            <w:r>
              <w:rPr>
                <w:color w:val="000000"/>
                <w:sz w:val="20"/>
                <w:szCs w:val="20"/>
                <w:lang w:val="ru-RU"/>
              </w:rPr>
              <w:t>Расположение объекта (место оказания услуг)</w:t>
            </w:r>
          </w:p>
        </w:tc>
        <w:tc>
          <w:tcPr>
            <w:tcW w:w="2128" w:type="dxa"/>
            <w:tcBorders>
              <w:top w:val="single" w:sz="8" w:space="0" w:color="000000"/>
              <w:bottom w:val="single" w:sz="8" w:space="0" w:color="000000"/>
              <w:right w:val="single" w:sz="8" w:space="0" w:color="000000"/>
            </w:tcBorders>
            <w:shd w:color="auto" w:fill="auto" w:val="clear"/>
            <w:vAlign w:val="center"/>
          </w:tcPr>
          <w:p>
            <w:pPr>
              <w:pStyle w:val="Normal"/>
              <w:widowControl w:val="false"/>
              <w:suppressAutoHyphens w:val="true"/>
              <w:jc w:val="center"/>
              <w:rPr>
                <w:color w:val="000000"/>
                <w:sz w:val="20"/>
                <w:szCs w:val="20"/>
                <w:lang w:val="ru-RU"/>
              </w:rPr>
            </w:pPr>
            <w:r>
              <w:rPr>
                <w:color w:val="000000"/>
                <w:sz w:val="20"/>
                <w:szCs w:val="20"/>
                <w:lang w:val="ru-RU"/>
              </w:rPr>
              <w:t>Наименование основного средства(в отношении которого оказываются услуги)</w:t>
            </w:r>
          </w:p>
        </w:tc>
        <w:tc>
          <w:tcPr>
            <w:tcW w:w="1556" w:type="dxa"/>
            <w:tcBorders>
              <w:top w:val="single" w:sz="8" w:space="0" w:color="000000"/>
              <w:bottom w:val="single" w:sz="8" w:space="0" w:color="000000"/>
              <w:right w:val="single" w:sz="8" w:space="0" w:color="000000"/>
            </w:tcBorders>
            <w:shd w:color="auto" w:fill="auto" w:val="clear"/>
            <w:vAlign w:val="center"/>
          </w:tcPr>
          <w:p>
            <w:pPr>
              <w:pStyle w:val="Normal"/>
              <w:widowControl w:val="false"/>
              <w:suppressAutoHyphens w:val="true"/>
              <w:jc w:val="center"/>
              <w:rPr>
                <w:color w:val="000000"/>
                <w:sz w:val="20"/>
                <w:szCs w:val="20"/>
                <w:lang w:val="ru-RU"/>
              </w:rPr>
            </w:pPr>
            <w:r>
              <w:rPr>
                <w:color w:val="000000"/>
                <w:sz w:val="20"/>
                <w:szCs w:val="20"/>
                <w:lang w:val="ru-RU"/>
              </w:rPr>
              <w:t>Гос. номер</w:t>
            </w:r>
          </w:p>
        </w:tc>
        <w:tc>
          <w:tcPr>
            <w:tcW w:w="1275" w:type="dxa"/>
            <w:tcBorders>
              <w:top w:val="single" w:sz="8" w:space="0" w:color="000000"/>
              <w:bottom w:val="single" w:sz="8" w:space="0" w:color="000000"/>
              <w:right w:val="single" w:sz="8" w:space="0" w:color="000000"/>
            </w:tcBorders>
            <w:shd w:color="auto" w:fill="auto" w:val="clear"/>
            <w:vAlign w:val="center"/>
          </w:tcPr>
          <w:p>
            <w:pPr>
              <w:pStyle w:val="Normal"/>
              <w:widowControl w:val="false"/>
              <w:suppressAutoHyphens w:val="true"/>
              <w:jc w:val="center"/>
              <w:rPr>
                <w:color w:val="000000"/>
                <w:sz w:val="20"/>
                <w:szCs w:val="20"/>
                <w:lang w:val="ru-RU"/>
              </w:rPr>
            </w:pPr>
            <w:r>
              <w:rPr>
                <w:color w:val="000000"/>
                <w:sz w:val="20"/>
                <w:szCs w:val="20"/>
                <w:lang w:val="ru-RU"/>
              </w:rPr>
              <w:t>Категория</w:t>
            </w:r>
          </w:p>
        </w:tc>
        <w:tc>
          <w:tcPr>
            <w:tcW w:w="1279" w:type="dxa"/>
            <w:tcBorders>
              <w:top w:val="single" w:sz="8" w:space="0" w:color="000000"/>
              <w:bottom w:val="single" w:sz="8" w:space="0" w:color="000000"/>
              <w:right w:val="single" w:sz="8" w:space="0" w:color="000000"/>
            </w:tcBorders>
            <w:shd w:color="auto" w:fill="auto" w:val="clear"/>
            <w:vAlign w:val="center"/>
          </w:tcPr>
          <w:p>
            <w:pPr>
              <w:pStyle w:val="Normal"/>
              <w:widowControl w:val="false"/>
              <w:suppressAutoHyphens w:val="true"/>
              <w:jc w:val="center"/>
              <w:rPr>
                <w:color w:val="000000"/>
                <w:sz w:val="20"/>
                <w:szCs w:val="20"/>
                <w:lang w:val="ru-RU"/>
              </w:rPr>
            </w:pPr>
            <w:r>
              <w:rPr>
                <w:color w:val="000000"/>
                <w:sz w:val="20"/>
                <w:szCs w:val="20"/>
                <w:lang w:val="ru-RU"/>
              </w:rPr>
              <w:t>Примечания</w:t>
            </w:r>
          </w:p>
        </w:tc>
      </w:tr>
      <w:tr>
        <w:trPr>
          <w:trHeight w:val="300" w:hRule="atLeast"/>
        </w:trPr>
        <w:tc>
          <w:tcPr>
            <w:tcW w:w="594" w:type="dxa"/>
            <w:tcBorders>
              <w:left w:val="single" w:sz="8" w:space="0" w:color="000000"/>
              <w:right w:val="single" w:sz="8" w:space="0" w:color="000000"/>
            </w:tcBorders>
            <w:shd w:color="auto" w:fill="auto" w:val="clear"/>
            <w:vAlign w:val="center"/>
          </w:tcPr>
          <w:p>
            <w:pPr>
              <w:pStyle w:val="Normal"/>
              <w:widowControl w:val="false"/>
              <w:suppressAutoHyphens w:val="true"/>
              <w:jc w:val="center"/>
              <w:rPr>
                <w:b/>
                <w:bCs/>
                <w:color w:val="000000"/>
                <w:sz w:val="20"/>
                <w:szCs w:val="20"/>
                <w:lang w:val="ru-RU"/>
              </w:rPr>
            </w:pPr>
            <w:r>
              <w:rPr>
                <w:b/>
                <w:bCs/>
                <w:color w:val="000000"/>
                <w:sz w:val="20"/>
                <w:szCs w:val="20"/>
                <w:lang w:val="ru-RU"/>
              </w:rPr>
              <w:t>1</w:t>
            </w:r>
          </w:p>
        </w:tc>
        <w:tc>
          <w:tcPr>
            <w:tcW w:w="1747" w:type="dxa"/>
            <w:tcBorders>
              <w:right w:val="single" w:sz="8" w:space="0" w:color="000000"/>
            </w:tcBorders>
            <w:shd w:color="auto" w:fill="auto" w:val="clear"/>
            <w:vAlign w:val="center"/>
          </w:tcPr>
          <w:p>
            <w:pPr>
              <w:pStyle w:val="Normal"/>
              <w:widowControl w:val="false"/>
              <w:suppressAutoHyphens w:val="true"/>
              <w:jc w:val="center"/>
              <w:rPr>
                <w:b/>
                <w:bCs/>
                <w:color w:val="000000"/>
                <w:sz w:val="20"/>
                <w:szCs w:val="20"/>
                <w:lang w:val="ru-RU"/>
              </w:rPr>
            </w:pPr>
            <w:r>
              <w:rPr>
                <w:b/>
                <w:bCs/>
                <w:color w:val="000000"/>
                <w:sz w:val="20"/>
                <w:szCs w:val="20"/>
                <w:lang w:val="ru-RU"/>
              </w:rPr>
              <w:t>2</w:t>
            </w:r>
          </w:p>
        </w:tc>
        <w:tc>
          <w:tcPr>
            <w:tcW w:w="1485" w:type="dxa"/>
            <w:tcBorders>
              <w:right w:val="single" w:sz="8" w:space="0" w:color="000000"/>
            </w:tcBorders>
            <w:shd w:color="auto" w:fill="auto" w:val="clear"/>
            <w:vAlign w:val="center"/>
          </w:tcPr>
          <w:p>
            <w:pPr>
              <w:pStyle w:val="Normal"/>
              <w:widowControl w:val="false"/>
              <w:suppressAutoHyphens w:val="true"/>
              <w:jc w:val="center"/>
              <w:rPr>
                <w:b/>
                <w:bCs/>
                <w:color w:val="000000"/>
                <w:sz w:val="20"/>
                <w:szCs w:val="20"/>
                <w:lang w:val="ru-RU"/>
              </w:rPr>
            </w:pPr>
            <w:r>
              <w:rPr>
                <w:b/>
                <w:bCs/>
                <w:color w:val="000000"/>
                <w:sz w:val="20"/>
                <w:szCs w:val="20"/>
                <w:lang w:val="ru-RU"/>
              </w:rPr>
              <w:t>3</w:t>
            </w:r>
          </w:p>
        </w:tc>
        <w:tc>
          <w:tcPr>
            <w:tcW w:w="2128" w:type="dxa"/>
            <w:tcBorders>
              <w:right w:val="single" w:sz="8" w:space="0" w:color="000000"/>
            </w:tcBorders>
            <w:shd w:color="auto" w:fill="auto" w:val="clear"/>
            <w:vAlign w:val="center"/>
          </w:tcPr>
          <w:p>
            <w:pPr>
              <w:pStyle w:val="Normal"/>
              <w:widowControl w:val="false"/>
              <w:suppressAutoHyphens w:val="true"/>
              <w:jc w:val="center"/>
              <w:rPr>
                <w:b/>
                <w:bCs/>
                <w:color w:val="000000"/>
                <w:sz w:val="20"/>
                <w:szCs w:val="20"/>
                <w:lang w:val="ru-RU"/>
              </w:rPr>
            </w:pPr>
            <w:r>
              <w:rPr>
                <w:b/>
                <w:bCs/>
                <w:color w:val="000000"/>
                <w:sz w:val="20"/>
                <w:szCs w:val="20"/>
                <w:lang w:val="ru-RU"/>
              </w:rPr>
              <w:t>4</w:t>
            </w:r>
          </w:p>
        </w:tc>
        <w:tc>
          <w:tcPr>
            <w:tcW w:w="1556" w:type="dxa"/>
            <w:tcBorders>
              <w:right w:val="single" w:sz="8" w:space="0" w:color="000000"/>
            </w:tcBorders>
            <w:shd w:color="auto" w:fill="auto" w:val="clear"/>
            <w:vAlign w:val="center"/>
          </w:tcPr>
          <w:p>
            <w:pPr>
              <w:pStyle w:val="Normal"/>
              <w:widowControl w:val="false"/>
              <w:suppressAutoHyphens w:val="true"/>
              <w:jc w:val="center"/>
              <w:rPr>
                <w:b/>
                <w:bCs/>
                <w:color w:val="000000"/>
                <w:sz w:val="20"/>
                <w:szCs w:val="20"/>
                <w:lang w:val="ru-RU"/>
              </w:rPr>
            </w:pPr>
            <w:r>
              <w:rPr>
                <w:b/>
                <w:bCs/>
                <w:color w:val="000000"/>
                <w:sz w:val="20"/>
                <w:szCs w:val="20"/>
                <w:lang w:val="ru-RU"/>
              </w:rPr>
              <w:t>5</w:t>
            </w:r>
          </w:p>
        </w:tc>
        <w:tc>
          <w:tcPr>
            <w:tcW w:w="1275" w:type="dxa"/>
            <w:tcBorders>
              <w:right w:val="single" w:sz="8" w:space="0" w:color="000000"/>
            </w:tcBorders>
            <w:shd w:color="auto" w:fill="auto" w:val="clear"/>
            <w:vAlign w:val="center"/>
          </w:tcPr>
          <w:p>
            <w:pPr>
              <w:pStyle w:val="Normal"/>
              <w:widowControl w:val="false"/>
              <w:suppressAutoHyphens w:val="true"/>
              <w:jc w:val="center"/>
              <w:rPr>
                <w:b/>
                <w:bCs/>
                <w:color w:val="000000"/>
                <w:sz w:val="20"/>
                <w:szCs w:val="20"/>
                <w:lang w:val="ru-RU"/>
              </w:rPr>
            </w:pPr>
            <w:r>
              <w:rPr>
                <w:b/>
                <w:bCs/>
                <w:color w:val="000000"/>
                <w:sz w:val="20"/>
                <w:szCs w:val="20"/>
                <w:lang w:val="ru-RU"/>
              </w:rPr>
              <w:t>6</w:t>
            </w:r>
          </w:p>
        </w:tc>
        <w:tc>
          <w:tcPr>
            <w:tcW w:w="1279" w:type="dxa"/>
            <w:tcBorders>
              <w:right w:val="single" w:sz="8" w:space="0" w:color="000000"/>
            </w:tcBorders>
            <w:shd w:color="auto" w:fill="auto" w:val="clear"/>
            <w:vAlign w:val="center"/>
          </w:tcPr>
          <w:p>
            <w:pPr>
              <w:pStyle w:val="Normal"/>
              <w:widowControl w:val="false"/>
              <w:suppressAutoHyphens w:val="true"/>
              <w:jc w:val="center"/>
              <w:rPr>
                <w:b/>
                <w:bCs/>
                <w:color w:val="000000"/>
                <w:sz w:val="20"/>
                <w:szCs w:val="20"/>
                <w:lang w:val="ru-RU"/>
              </w:rPr>
            </w:pPr>
            <w:r>
              <w:rPr>
                <w:b/>
                <w:bCs/>
                <w:color w:val="000000"/>
                <w:sz w:val="20"/>
                <w:szCs w:val="20"/>
                <w:lang w:val="ru-RU"/>
              </w:rPr>
              <w:t>7</w:t>
            </w:r>
          </w:p>
        </w:tc>
      </w:tr>
      <w:tr>
        <w:trPr>
          <w:trHeight w:val="1020" w:hRule="atLeast"/>
        </w:trPr>
        <w:tc>
          <w:tcPr>
            <w:tcW w:w="59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w:t>
            </w:r>
          </w:p>
        </w:tc>
        <w:tc>
          <w:tcPr>
            <w:tcW w:w="174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Toyota Land Cruiser 120 PRADO</w:t>
            </w:r>
          </w:p>
        </w:tc>
        <w:tc>
          <w:tcPr>
            <w:tcW w:w="15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014 ОР 41</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top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UAZ PATRIOT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038 УХ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039 НХ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UAZ PATRIOT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039 УХ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NISSAN PATROL</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А 041 ТО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Toyota Land Cruiser 200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070 ОЕ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Тойота Хайс</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098 КС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ЛВИ 22153-0000010-01</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141 НС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315196</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150 УК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153 УК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MMC Delica D:5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168 ХЕ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UAZ PATRIOT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315 ХТ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Тойота-Л.Круизер- 100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425 КА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УАЗ-3962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542 ОЕ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УАЗ-31519</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579 КМ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УАЗ-2069</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580 КМ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 22177</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776 СУ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UAZ PATRIOT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930 СС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UAZ PATRIOT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931 СС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ГАЗ-33023 ПМС-212-02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193 НМ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UAZ PATRIOT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199 АС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Renault Duster</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239 НН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UAZ PATRIOT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263 ВН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UAZ PATRIOT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277 ВН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UAZ PATRIOT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329 НК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УАЗ-315195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332 ОВ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УАЗ-315195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354 ОВ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UAZ PATRIOT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395 ОС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UAZ PATRIOT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454 ОВ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30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UAZ PATRIOT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454 ОС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31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UAZ PATRIOT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462 НК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32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Mitsubishi Delica D:5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470 ЕЕ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33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UAZ PATRIOT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490 НР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34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FORD TOURNEO CUSTOM</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495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35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TOYOTA LAND CRUISER</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724 ВТ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36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LEXUS GX 460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746 ВТ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37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-396255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766 АЕ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38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Ниссан NP 300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815 АМ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39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Renault Duster</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850 КУ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40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Toyota Fortuner</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884 КТ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41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Toyota Land Cruiser</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005 ОК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42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Toyota Land Cruiser</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005 РО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43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Toyota Land Cruiser</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010 ОК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44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3309</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170 НР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45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NISSAN-SAFARI</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302 ВХ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46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31514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485 КА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47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3962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578 МА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48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 xml:space="preserve">УАЗ 39099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583 ОН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49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ВАЗ 21213</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626 АВ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50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УАЗ 22069-04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К 651 ОТ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51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NISSAN TERRANO</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Н 049 НН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52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Toyota Land Cruiser 150 (PRADO)</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Т 121 НС 777</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53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Тойота-Л.Круизер- 200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Т 747 ТТ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54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NISSAN PATROL 4,8</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Т 808 ТТ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55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УАЗ-315195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Т 819 ТТ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56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Mitsubishi Pajero 3.8 LWB</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 023 ОЕ 52</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57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 322173</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333 ХК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58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ГАЗ-А62R33</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274 ЕУ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59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Тойота Хайс пассажирский</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Т 825 ТТ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60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 xml:space="preserve">ПАЗ-3205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038 НХ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61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Нефаз 4208-11-13</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058 ТС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62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ПАЗ 3206-110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089 ТС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63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Нефаз 4208-11-13</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351 РВ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64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4310 ВМ</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914 НС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65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43118 422612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418 КУ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66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ПАЗ 320530-04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491 КК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67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ПАЗ-32054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855 АР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68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002 МВ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69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002 МК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70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УАЗ-39094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045 МЕ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71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Т-Таун-Айс</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066 МВ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72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УАЗ-390944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095 КС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73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149 УК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74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152 УК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75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2705V7 (Газель)</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357 РВ 28</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76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449 ТН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77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450 ТН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78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513 ОС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79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514 ОС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80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561 ОУ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81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УАЗ-390942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928 ВВ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82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Ниссан Атлас</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966 НС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83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 xml:space="preserve">УАЗ-330364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042 ВВ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84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ГАЗ-27527 Соболь</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108 РЕ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85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ГАЗ-27527 Соболь</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158 РЕ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86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ГАЗ-3302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319 ЕУ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87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Mitsubishi L200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342 ОМ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88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392 ВН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89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390945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397 ВН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90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Автомобиль УАЗ-390995 фермер</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409 ЕТ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91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415 ВН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92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УАЗ-390995-04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422 ОХ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93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429 ВН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94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ГАЗ-27527</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517 ВТ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95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 Соболь</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527 ОУ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96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УАЗ-390995-04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533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97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ГАЗ-27527 Соболь</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698 ОУ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98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 xml:space="preserve">ГАЗ-27527 Соболь Комби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708 КХ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99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710 АН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100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711 ЕЕ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101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724 АН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102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730 АН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103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762 АЕ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104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763 АЕ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105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764 АЕ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106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ГАЗ-27527</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805 АР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107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Ниссан NP 300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834 АМ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108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 xml:space="preserve">ГАЗ-27527 Соболь Комби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856 КХ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109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УАЗ-39094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532 МТ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110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ГАЗ-330210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541 АН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111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390942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543 МТ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112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УАЗ-3303</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929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113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Mitsubishi L200 2,5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С 733 ХВ 27</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114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УАЗ 390995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Т 859 ТТ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N1</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115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ЗИЛ-4545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028 МК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116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ГАЗ--3307</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029 МК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117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 33081 ЛВИ 37894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032 НВ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118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 32597L</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117 СР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119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 xml:space="preserve">ЗИЛ 131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316 ОА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120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 xml:space="preserve">ГАЗ-53 (САГ)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594 ОУ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121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ГАЗ-53 АНЖ</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А 920 НС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122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 xml:space="preserve">ЗИЛ 130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940 НС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123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ЗИЛ 131 А</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941 НС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124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 66 11 компрессор</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964 НС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125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483723-В ГАЗ-33086</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112 МВ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126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Аварийная служба 3034КЗ</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223 КО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127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САДКО NEXT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238 РЕ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128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САДКО NEXT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243 РЕ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129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Бриг. Авт. 27901-0000010-57</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245 КК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130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ГАЗ-33088</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262 ЕУ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131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47953-0000010-32(ГАЗ33081)</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271 ЕЕ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132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АРМ ГАЗ 3813G0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277 МВ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133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538918</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313 ЕС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134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3034К3</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339 КО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135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 3813 FH АПП-20 Т</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347 ВУ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136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 xml:space="preserve">Автовышка АГП-22 на базе ГАЗ-33086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350 ЕС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137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ISUZU SMA445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360 КУ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138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 3813 FH АПП-20 Т</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361 ВУ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139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ПАРМ на шасси ГАЗ 3308 47955-0000010-31</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388 ЕС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140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 3813 FH АПП-20 Т</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392 ВУ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141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Чайка - Сервис 27847R</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410 ЕУ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142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27901-0000010-57</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465 КК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143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 33088 47953-0000010-31</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493 ЕЕ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144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3897-0000010-24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499 КН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145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ГАЗ-66 4732-0000010-60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545 ЕУ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146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Чайка - Сервис 27847R</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582 ЕУ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147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ISUZU SMA445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595 КК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148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ПАРМ 27901-0000010-57</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667 КК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149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ISUZU SMA445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719 КК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150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ПАРМ 27901-0000010-57</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740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151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ГАЗ-САЗ-39014-10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792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152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Бриг. Авт. 27901-0000010-57</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884 ЕУ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153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ГАЗ-33088</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899 ЕУ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154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ГАЗ-САЗ-39014-10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934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155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ПАРМ 27901-0000010-57</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960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156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КО-503В-2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978 НК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157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Автомобиль ЛВИ (лаборатория)</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979 ЕТ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158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Чайка сервис 27844К</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991 АТ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159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1804 FE</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Е 805 ТХ 35</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160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 САЗ 3507</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480 КА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161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 xml:space="preserve">ЗИЛ-131 эл.лаборатория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686 ОТ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162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ЗИЛ 131</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851 КО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163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ГАЗ-5312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931 ЕХ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164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ПАРТ-28 (ЗИЛ-433112)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Р 487 МА 59</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165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КАМАЗ-5759</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036 СВ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166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 xml:space="preserve">Hyundai NEW Power TRUCK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210 ХК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167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ПСС-141,28Э(43114) 29464G</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316 ХТ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168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65115-62 КС 55713-1К</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317 ХТ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169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МАЗ-5337-КС-35715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376 ОА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170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4310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915 НС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171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КРАЗ 250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921 НС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172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53212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 945 НС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173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 xml:space="preserve">Камаз 43118 с краном манипулятором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063 ВВ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174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7078В7(на шасси УРАЛ 4320)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155 ЕА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175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УЗСТ 174В-13</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175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176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53605-А5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187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177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483723-В ГАЗ-33086</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218 МВ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178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6522-53 Самосвал</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236 КО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179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КАМАЗ 6520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296 КО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180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КАМАЗ-53605-А5 К2030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302 МВ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181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ГИРД-584912 0000015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304 ЕА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182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Камаз 652020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332 КО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183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6522-53 Самосвал</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352 КО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184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УРАЛ 4320 с КМУ</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380 КЕ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185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МК-4512-02 на шасси КАМАЗ 43253-G5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380 КО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186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ГИРД-5849Н3-0000030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382 ВХ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187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КМД-43253-Е5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397 ЕУ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188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УЗСТ 483В-36</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417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189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Бурильно-крановая машина, на базе УРАЛ БКМ-515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422 ЕТ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190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МК-4512-02 на шасси КАМАЗ 43253-G5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439 КО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191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65225-43</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443 МВ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192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65115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449 АР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193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МК-4512-02 на шасси КАМАЗ 43253-G5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455 КО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194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МК-4512-02 на шасси КАМАЗ 43253-G5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456 КО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195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HOWO ZZ4257V3247N1B</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466 АР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196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ГИРД 5849Н3-0000030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466 ВУ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197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КАМАЗ65115-62 КС-45717К-1</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469 АР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198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МАЗ 6422А8-330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470 АР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199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КС 45717</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473 АР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200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Shacman SX3318DT366</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492 НВ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201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МК-4512-02 на шасси КАМАЗ 43253-G5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493 КО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202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6520-53</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496 КО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203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43118 с КМУ</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506 КУ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204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УЗСТ 5860-73</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532 МА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205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5328BY</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541 ЕК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206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УЗСТ 174В-13</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543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207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КАМАЗ 65225 RT</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544 ОО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208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УЗСТ 483В-36</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570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209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УЗСТ 483В-42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593 КН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210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Камаз с КМУ</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621 КУ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211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ГИРД 5849DA-0001032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623 ОЕ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212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Shacman SX3318DT366</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695 КХ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213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УЗСТ 483В-36</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703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214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МК-4512-02 на шасси КАМАЗ 43253-G5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716 КН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215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53605-А5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722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216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 xml:space="preserve">КАМАЗ со сварочным оборудованием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751 КА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217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Автокран XCMG XCT25L5_S</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758 МВ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218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Автокран КС-55732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760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219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7727В3</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793 КХ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220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43118-46 (R008F2)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794 ВТ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221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Shacman SX3318DT366</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817 НА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222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53605-А5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842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223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53605-А5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868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224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5367Е4К0000106</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882 ЕУ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225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МКМ240-32 (КАМАЗ 43114)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899 РВ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226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КАМАЗ-65225-53 К3340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903 КХ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227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732407(КАМАЗ 43118)</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942 ЕК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228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6522-53 Самосвал</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950 ЕВ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229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53605-А5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985 КВ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230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АЦ-3,2-40/4 (КАМАЗ 4308) 36240В</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Е 144 ММ 19</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231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КС 35715 МАЗ 5337</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213 НВ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232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УРАЛ-44202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297 НВ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233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КАМАЗ-4310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326 ВХ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234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 xml:space="preserve">КАМАЗ 4310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482 КА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235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SHACMAN SX3258DR384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К 585 АК 126</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236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SHACMAN SX3258DR384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К 651 АК 126</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237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SHACMAN SX3258DR384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К 667 АК 126</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238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 xml:space="preserve">ЗИЛ-130 (САГ)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 788 ОВ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239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АПТ-8,0-70 (КАМАЗ 43118)</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М 416 УН 750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240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 xml:space="preserve">МКМ 200 481042-0000021 </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Н 274 ТК 27</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241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4672С7-10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Р 188 РР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242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КС-35715 (МАЗ-5337)</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Р 485 МА 59</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243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Автогудронатор МАЗ 6312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317 ЕО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 (опасник)</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244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Камаз АЦН</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409 КС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 (опасник)</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245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Автогудронатор МАЗ 6312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440 ЕО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 (опасник)</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246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Автогудронатор МАЗ 6312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520 ЕТ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 (опасник)</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247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Автогудронатор МАЗ 6312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В 521 ЕТ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 (опасник)</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248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4679А2-10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582 НР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 (опасник)</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249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КАМАЗ Т2230 (в сцепке с 41 АВ 0335)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814 ОА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 (опасник)</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250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Камаз АЦН 4665С1</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В 896 КС 41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 (опасник)</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251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УЗСТ 6619Н19</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Т 476 УМ 174</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N3 (опасник)</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252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Торнадо М 350, 886022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41 АА 8385</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O2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253</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Торнадо М 350, 886022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41 АА 8387</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O2</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254</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НЕФАЗ-8560-02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19 АЕ 2156</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O4</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255</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НЕФАЗ-8560-02</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19 АЕ 2157</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O4</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256</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ПОЛУПРИЦЕП с бортовой платформой</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25 АК 6270</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O4</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257</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LIANGSHAN DONGYUE CSQ9390TDP</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25 АК 6276</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O4</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258</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МАЗ 93971</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41 АА 2411</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O4</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259</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УЗСТ 9175</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41 АА 7487</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O4</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260</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HARTUNG 94334</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41 АА 8317</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O4</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261</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Полуприцеп-тяжеловоз 935913-0000010</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41 АА 8318</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sz w:val="22"/>
                <w:szCs w:val="22"/>
                <w:lang w:val="ru-RU"/>
              </w:rPr>
            </w:pPr>
            <w:r>
              <w:rPr>
                <w:sz w:val="22"/>
                <w:szCs w:val="22"/>
                <w:lang w:val="ru-RU"/>
              </w:rPr>
              <w:t>O4</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r>
        <w:trPr>
          <w:trHeight w:val="1020" w:hRule="atLeast"/>
        </w:trPr>
        <w:tc>
          <w:tcPr>
            <w:tcW w:w="594"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true"/>
              <w:jc w:val="right"/>
              <w:rPr>
                <w:color w:val="000000"/>
                <w:sz w:val="20"/>
                <w:szCs w:val="20"/>
                <w:lang w:val="ru-RU"/>
              </w:rPr>
            </w:pPr>
            <w:r>
              <w:rPr>
                <w:color w:val="000000"/>
                <w:sz w:val="20"/>
                <w:szCs w:val="20"/>
                <w:lang w:val="ru-RU"/>
              </w:rPr>
              <w:t>262</w:t>
            </w:r>
          </w:p>
        </w:tc>
        <w:tc>
          <w:tcPr>
            <w:tcW w:w="1747"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Услуги по проведению технического осмотра ТС</w:t>
            </w:r>
          </w:p>
        </w:tc>
        <w:tc>
          <w:tcPr>
            <w:tcW w:w="1485" w:type="dxa"/>
            <w:tcBorders>
              <w:bottom w:val="single" w:sz="4" w:space="0" w:color="000000"/>
              <w:right w:val="single" w:sz="4" w:space="0" w:color="000000"/>
            </w:tcBorders>
            <w:shd w:color="auto" w:fill="auto" w:val="clear"/>
            <w:vAlign w:val="center"/>
          </w:tcPr>
          <w:p>
            <w:pPr>
              <w:pStyle w:val="Normal"/>
              <w:widowControl w:val="false"/>
              <w:suppressAutoHyphens w:val="true"/>
              <w:rPr>
                <w:color w:val="000000"/>
                <w:sz w:val="20"/>
                <w:szCs w:val="20"/>
                <w:lang w:val="ru-RU"/>
              </w:rPr>
            </w:pPr>
            <w:r>
              <w:rPr>
                <w:color w:val="000000"/>
                <w:sz w:val="20"/>
                <w:szCs w:val="20"/>
                <w:lang w:val="ru-RU"/>
              </w:rPr>
              <w:t>По месту нахождения Исполнителя</w:t>
            </w:r>
          </w:p>
        </w:tc>
        <w:tc>
          <w:tcPr>
            <w:tcW w:w="21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FOXTANK 966611 (в сцепке с В 814 ОА 41)</w:t>
            </w:r>
          </w:p>
        </w:tc>
        <w:tc>
          <w:tcPr>
            <w:tcW w:w="1556"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41 АВ 0335</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color w:val="000000"/>
                <w:sz w:val="22"/>
                <w:szCs w:val="22"/>
                <w:lang w:val="ru-RU"/>
              </w:rPr>
            </w:pPr>
            <w:r>
              <w:rPr>
                <w:color w:val="000000"/>
                <w:sz w:val="22"/>
                <w:szCs w:val="22"/>
                <w:lang w:val="ru-RU"/>
              </w:rPr>
              <w:t>O4 (опасник)</w:t>
            </w:r>
          </w:p>
        </w:tc>
        <w:tc>
          <w:tcPr>
            <w:tcW w:w="1279" w:type="dxa"/>
            <w:tcBorders>
              <w:bottom w:val="single" w:sz="4" w:space="0" w:color="000000"/>
              <w:right w:val="single" w:sz="4" w:space="0" w:color="000000"/>
            </w:tcBorders>
            <w:shd w:color="auto" w:fill="auto" w:val="clear"/>
            <w:vAlign w:val="bottom"/>
          </w:tcPr>
          <w:p>
            <w:pPr>
              <w:pStyle w:val="Normal"/>
              <w:widowControl w:val="false"/>
              <w:suppressAutoHyphens w:val="true"/>
              <w:rPr>
                <w:color w:val="000000"/>
                <w:sz w:val="20"/>
                <w:szCs w:val="20"/>
                <w:lang w:val="ru-RU"/>
              </w:rPr>
            </w:pPr>
            <w:r>
              <w:rPr>
                <w:color w:val="000000"/>
                <w:sz w:val="20"/>
                <w:szCs w:val="20"/>
                <w:lang w:val="ru-RU"/>
              </w:rPr>
            </w:r>
          </w:p>
        </w:tc>
      </w:tr>
    </w:tbl>
    <w:p>
      <w:pPr>
        <w:pStyle w:val="Normal"/>
        <w:suppressAutoHyphens w:val="true"/>
        <w:rPr>
          <w:sz w:val="28"/>
          <w:szCs w:val="28"/>
          <w:lang w:val="ru-RU" w:eastAsia="x-none"/>
        </w:rPr>
      </w:pPr>
      <w:r>
        <w:rPr>
          <w:sz w:val="28"/>
          <w:szCs w:val="28"/>
          <w:lang w:val="ru-RU" w:eastAsia="x-none"/>
        </w:rPr>
      </w:r>
    </w:p>
    <w:p>
      <w:pPr>
        <w:pStyle w:val="Normal"/>
        <w:keepNext w:val="true"/>
        <w:numPr>
          <w:ilvl w:val="1"/>
          <w:numId w:val="26"/>
        </w:numPr>
        <w:suppressAutoHyphens w:val="true"/>
        <w:spacing w:before="120" w:after="60"/>
        <w:outlineLvl w:val="3"/>
        <w:rPr>
          <w:rFonts w:eastAsia="Calibri"/>
          <w:b/>
          <w:bCs/>
          <w:lang w:val="x-none" w:eastAsia="x-none"/>
        </w:rPr>
      </w:pPr>
      <w:bookmarkStart w:id="27" w:name="_Toc46743509"/>
      <w:bookmarkStart w:id="28" w:name="_Hlk49857604"/>
      <w:bookmarkStart w:id="29" w:name="_Toc142558173"/>
      <w:bookmarkStart w:id="30" w:name="_Toc142558686"/>
      <w:r>
        <w:rPr>
          <w:rFonts w:eastAsia="Calibri"/>
          <w:b/>
          <w:bCs/>
          <w:lang w:val="x-none" w:eastAsia="x-none"/>
        </w:rPr>
        <w:t xml:space="preserve">Информация в отношении исполнения договора, </w:t>
      </w:r>
      <w:bookmarkStart w:id="31" w:name="_Hlk46492347"/>
      <w:r>
        <w:rPr>
          <w:rFonts w:eastAsia="Calibri"/>
          <w:b/>
          <w:bCs/>
          <w:lang w:val="x-none" w:eastAsia="x-none"/>
        </w:rPr>
        <w:t xml:space="preserve">которая должна быть учтена при подготовке заявки </w:t>
      </w:r>
      <w:bookmarkEnd w:id="31"/>
      <w:r>
        <w:rPr>
          <w:rFonts w:eastAsia="Calibri"/>
          <w:b/>
          <w:bCs/>
          <w:lang w:val="x-none" w:eastAsia="x-none"/>
        </w:rPr>
        <w:t xml:space="preserve">(в том числе перечень ресурсов, услуг и документов, предоставляемых </w:t>
      </w:r>
      <w:r>
        <w:rPr>
          <w:rFonts w:eastAsia="Calibri"/>
          <w:b/>
          <w:bCs/>
          <w:lang w:val="ru-RU" w:eastAsia="x-none"/>
        </w:rPr>
        <w:t>заказчиком</w:t>
      </w:r>
      <w:r>
        <w:rPr>
          <w:rFonts w:eastAsia="Calibri"/>
          <w:b/>
          <w:bCs/>
          <w:lang w:val="x-none" w:eastAsia="x-none"/>
        </w:rPr>
        <w:t xml:space="preserve"> на этапе исполнения договора)</w:t>
      </w:r>
      <w:bookmarkStart w:id="32" w:name="_Toc46743510"/>
      <w:bookmarkStart w:id="33" w:name="_Toc50125126"/>
      <w:bookmarkEnd w:id="27"/>
      <w:bookmarkEnd w:id="28"/>
      <w:bookmarkEnd w:id="29"/>
      <w:bookmarkEnd w:id="30"/>
    </w:p>
    <w:p>
      <w:pPr>
        <w:pStyle w:val="Normal"/>
        <w:keepNext w:val="true"/>
        <w:numPr>
          <w:ilvl w:val="0"/>
          <w:numId w:val="0"/>
        </w:numPr>
        <w:tabs>
          <w:tab w:val="clear" w:pos="709"/>
          <w:tab w:val="left" w:pos="0" w:leader="none"/>
        </w:tabs>
        <w:suppressAutoHyphens w:val="true"/>
        <w:spacing w:before="120" w:after="60"/>
        <w:ind w:left="1224" w:hanging="504"/>
        <w:outlineLvl w:val="2"/>
        <w:rPr>
          <w:rFonts w:eastAsia="Calibri"/>
          <w:lang w:val="x-none" w:eastAsia="x-none"/>
        </w:rPr>
      </w:pPr>
      <w:bookmarkStart w:id="34" w:name="_Toc135753776"/>
      <w:bookmarkStart w:id="35" w:name="_Toc142558174"/>
      <w:bookmarkStart w:id="36" w:name="_Toc142558687"/>
      <w:r>
        <w:rPr>
          <w:rFonts w:eastAsia="Calibri"/>
          <w:lang w:val="x-none" w:eastAsia="x-none"/>
        </w:rPr>
        <w:t xml:space="preserve">Заказчик предоставляет </w:t>
      </w:r>
      <w:r>
        <w:rPr>
          <w:rFonts w:eastAsia="Calibri"/>
          <w:lang w:val="ru-RU" w:eastAsia="x-none"/>
        </w:rPr>
        <w:t>Исполнителю</w:t>
      </w:r>
      <w:r>
        <w:rPr>
          <w:rFonts w:eastAsia="Calibri"/>
          <w:lang w:val="x-none" w:eastAsia="x-none"/>
        </w:rPr>
        <w:t>:</w:t>
      </w:r>
      <w:bookmarkEnd w:id="34"/>
      <w:bookmarkEnd w:id="35"/>
      <w:bookmarkEnd w:id="36"/>
    </w:p>
    <w:p>
      <w:pPr>
        <w:pStyle w:val="Normal"/>
        <w:keepNext w:val="true"/>
        <w:numPr>
          <w:ilvl w:val="0"/>
          <w:numId w:val="0"/>
        </w:numPr>
        <w:suppressAutoHyphens w:val="true"/>
        <w:spacing w:before="120" w:after="60"/>
        <w:ind w:left="1224" w:hanging="0"/>
        <w:outlineLvl w:val="2"/>
        <w:rPr>
          <w:rFonts w:eastAsia="Calibri"/>
          <w:lang w:val="x-none" w:eastAsia="x-none"/>
        </w:rPr>
      </w:pPr>
      <w:bookmarkStart w:id="37" w:name="_Toc135752684"/>
      <w:bookmarkStart w:id="38" w:name="_Toc135753777"/>
      <w:bookmarkStart w:id="39" w:name="_Toc142558175"/>
      <w:bookmarkStart w:id="40" w:name="_Toc142558688"/>
      <w:r>
        <w:rPr>
          <w:rFonts w:eastAsia="Calibri"/>
          <w:lang w:val="ru-RU" w:eastAsia="x-none"/>
        </w:rPr>
        <w:t>Необходимые данные о ТС (гос. номер, марку и модель ТС)</w:t>
      </w:r>
      <w:bookmarkEnd w:id="37"/>
      <w:bookmarkEnd w:id="38"/>
      <w:bookmarkEnd w:id="39"/>
      <w:bookmarkEnd w:id="40"/>
    </w:p>
    <w:p>
      <w:pPr>
        <w:pStyle w:val="Normal"/>
        <w:keepNext w:val="true"/>
        <w:keepLines/>
        <w:numPr>
          <w:ilvl w:val="0"/>
          <w:numId w:val="24"/>
        </w:numPr>
        <w:tabs>
          <w:tab w:val="clear" w:pos="709"/>
          <w:tab w:val="left" w:pos="0" w:leader="none"/>
        </w:tabs>
        <w:suppressAutoHyphens w:val="true"/>
        <w:spacing w:before="120" w:after="60"/>
        <w:ind w:left="357" w:hanging="357"/>
        <w:jc w:val="center"/>
        <w:outlineLvl w:val="0"/>
        <w:rPr>
          <w:rFonts w:eastAsia="Calibri"/>
          <w:b/>
          <w:iCs/>
          <w:caps/>
          <w:sz w:val="28"/>
          <w:szCs w:val="28"/>
          <w:lang w:val="ru-RU" w:eastAsia="x-none"/>
        </w:rPr>
      </w:pPr>
      <w:bookmarkStart w:id="41" w:name="_Toc51339693"/>
      <w:bookmarkStart w:id="42" w:name="_Toc142558689"/>
      <w:r>
        <w:rPr>
          <w:rFonts w:eastAsia="Calibri"/>
          <w:b/>
          <w:iCs/>
          <w:sz w:val="28"/>
          <w:szCs w:val="28"/>
          <w:lang w:val="ru-RU" w:eastAsia="x-none"/>
        </w:rPr>
        <w:t>Требования</w:t>
      </w:r>
      <w:r>
        <w:rPr>
          <w:rFonts w:eastAsia="Calibri"/>
          <w:b/>
          <w:iCs/>
          <w:sz w:val="28"/>
          <w:szCs w:val="28"/>
          <w:lang w:val="x-none" w:eastAsia="x-none"/>
        </w:rPr>
        <w:t xml:space="preserve"> к продукции</w:t>
      </w:r>
      <w:bookmarkEnd w:id="41"/>
      <w:bookmarkEnd w:id="42"/>
    </w:p>
    <w:p>
      <w:pPr>
        <w:pStyle w:val="Normal"/>
        <w:keepNext w:val="true"/>
        <w:numPr>
          <w:ilvl w:val="1"/>
          <w:numId w:val="26"/>
        </w:numPr>
        <w:suppressAutoHyphens w:val="true"/>
        <w:spacing w:before="120" w:after="60"/>
        <w:outlineLvl w:val="3"/>
        <w:rPr>
          <w:rFonts w:eastAsia="Calibri"/>
          <w:b/>
          <w:bCs/>
          <w:lang w:val="x-none" w:eastAsia="x-none"/>
        </w:rPr>
      </w:pPr>
      <w:bookmarkStart w:id="43" w:name="_Toc142558690"/>
      <w:r>
        <w:rPr>
          <w:rFonts w:eastAsia="Calibri"/>
          <w:b/>
          <w:bCs/>
          <w:lang w:val="x-none" w:eastAsia="x-none"/>
        </w:rPr>
        <w:t xml:space="preserve">Требования к объемам и срокам </w:t>
      </w:r>
      <w:r>
        <w:rPr>
          <w:rFonts w:eastAsia="Calibri"/>
          <w:b/>
          <w:bCs/>
          <w:lang w:val="ru-RU" w:eastAsia="x-none"/>
        </w:rPr>
        <w:t>оказания услуг</w:t>
      </w:r>
      <w:bookmarkEnd w:id="43"/>
    </w:p>
    <w:p>
      <w:pPr>
        <w:pStyle w:val="Normal"/>
        <w:keepNext w:val="true"/>
        <w:numPr>
          <w:ilvl w:val="0"/>
          <w:numId w:val="0"/>
        </w:numPr>
        <w:tabs>
          <w:tab w:val="clear" w:pos="709"/>
          <w:tab w:val="left" w:pos="0" w:leader="none"/>
        </w:tabs>
        <w:suppressAutoHyphens w:val="true"/>
        <w:spacing w:before="120" w:after="60"/>
        <w:ind w:left="1224" w:hanging="504"/>
        <w:outlineLvl w:val="2"/>
        <w:rPr>
          <w:rFonts w:eastAsia="Calibri"/>
          <w:b/>
          <w:lang w:val="ru-RU" w:eastAsia="x-none"/>
        </w:rPr>
      </w:pPr>
      <w:bookmarkStart w:id="44" w:name="_Toc142558691"/>
      <w:r>
        <w:rPr>
          <w:rFonts w:eastAsia="Calibri"/>
          <w:b/>
          <w:lang w:val="ru-RU" w:eastAsia="x-none"/>
        </w:rPr>
        <w:t>Требования к перечню и объему услуг</w:t>
      </w:r>
      <w:bookmarkEnd w:id="44"/>
    </w:p>
    <w:p>
      <w:pPr>
        <w:pStyle w:val="Normal"/>
        <w:numPr>
          <w:ilvl w:val="3"/>
          <w:numId w:val="26"/>
        </w:numPr>
        <w:suppressAutoHyphens w:val="true"/>
        <w:spacing w:before="0" w:after="0"/>
        <w:contextualSpacing/>
        <w:rPr>
          <w:rFonts w:eastAsia="Calibri"/>
          <w:b/>
          <w:lang w:val="ru-RU" w:eastAsia="x-none"/>
        </w:rPr>
      </w:pPr>
      <w:r>
        <w:rPr>
          <w:rFonts w:eastAsia="Calibri"/>
          <w:lang w:val="ru-RU" w:eastAsia="x-none"/>
        </w:rPr>
        <w:t xml:space="preserve">Объем выполняемых работ по техническому осмотру транспортных средств (далее ТС) осуществляется в соответствии с </w:t>
      </w:r>
      <w:hyperlink r:id="rId5">
        <w:r>
          <w:rPr>
            <w:rFonts w:eastAsia="Calibri"/>
            <w:lang w:val="ru-RU" w:eastAsia="x-none"/>
          </w:rPr>
          <w:t>Федеральным законом от 01.07.2011 N 170-ФЗ (ред. от 24.07.2023) "О техническом осмотре транспортных средств и о внесении изменений в отдельные законодательные акты Российской Федерации"</w:t>
        </w:r>
      </w:hyperlink>
      <w:r>
        <w:rPr>
          <w:rFonts w:eastAsia="Calibri"/>
          <w:b/>
          <w:lang w:val="ru-RU" w:eastAsia="x-none"/>
        </w:rPr>
        <w:t>.</w:t>
      </w:r>
    </w:p>
    <w:p>
      <w:pPr>
        <w:pStyle w:val="Normal"/>
        <w:numPr>
          <w:ilvl w:val="3"/>
          <w:numId w:val="26"/>
        </w:numPr>
        <w:suppressAutoHyphens w:val="true"/>
        <w:spacing w:before="0" w:after="0"/>
        <w:contextualSpacing/>
        <w:rPr>
          <w:rFonts w:eastAsia="Calibri"/>
          <w:lang w:val="ru-RU" w:eastAsia="x-none"/>
        </w:rPr>
      </w:pPr>
      <w:r>
        <w:rPr>
          <w:rFonts w:eastAsia="Calibri"/>
          <w:lang w:val="ru-RU" w:eastAsia="x-none"/>
        </w:rPr>
        <w:t>Перечень оказываемых услуг по техническому осмотру транспортных средств для нужд Камчатского филиала АО «ТК РусГидро» осуществляется в соответствии с Таблицей №2 «Перечень и объём оказываемых услуг»</w:t>
      </w:r>
    </w:p>
    <w:p>
      <w:pPr>
        <w:pStyle w:val="Normal"/>
        <w:keepNext w:val="true"/>
        <w:keepLines/>
        <w:numPr>
          <w:ilvl w:val="0"/>
          <w:numId w:val="0"/>
        </w:numPr>
        <w:suppressAutoHyphens w:val="true"/>
        <w:spacing w:before="240" w:after="60"/>
        <w:outlineLvl w:val="0"/>
        <w:rPr>
          <w:rFonts w:eastAsia="Calibri"/>
          <w:b/>
          <w:lang w:val="ru-RU" w:eastAsia="x-none"/>
        </w:rPr>
      </w:pPr>
      <w:bookmarkStart w:id="45" w:name="_Toc142558692"/>
      <w:bookmarkStart w:id="46" w:name="_Toc51339695"/>
      <w:r>
        <w:rPr>
          <w:rFonts w:eastAsia="Calibri"/>
          <w:b/>
          <w:lang w:val="x-none" w:eastAsia="x-none"/>
        </w:rPr>
        <w:t xml:space="preserve">Таблица </w:t>
      </w:r>
      <w:r>
        <w:rPr>
          <w:rFonts w:eastAsia="Calibri"/>
          <w:b/>
          <w:lang w:val="ru-RU" w:eastAsia="x-none"/>
        </w:rPr>
        <w:t>2.</w:t>
      </w:r>
      <w:r>
        <w:rPr>
          <w:rFonts w:eastAsia="Calibri"/>
          <w:b/>
          <w:lang w:val="x-none" w:eastAsia="x-none"/>
        </w:rPr>
        <w:t xml:space="preserve"> </w:t>
      </w:r>
      <w:r>
        <w:rPr>
          <w:rFonts w:eastAsia="Calibri"/>
          <w:b/>
          <w:lang w:val="ru-RU" w:eastAsia="x-none"/>
        </w:rPr>
        <w:t xml:space="preserve">Перечень </w:t>
      </w:r>
      <w:bookmarkEnd w:id="46"/>
      <w:r>
        <w:rPr>
          <w:rFonts w:eastAsia="Calibri"/>
          <w:b/>
          <w:lang w:val="ru-RU" w:eastAsia="x-none"/>
        </w:rPr>
        <w:t>и объем оказываемых услуг</w:t>
      </w:r>
      <w:bookmarkEnd w:id="45"/>
    </w:p>
    <w:p>
      <w:pPr>
        <w:pStyle w:val="Normal"/>
        <w:suppressAutoHyphens w:val="true"/>
        <w:rPr>
          <w:b/>
          <w:lang w:val="ru-RU"/>
        </w:rPr>
      </w:pPr>
      <w:r>
        <w:rPr>
          <w:b/>
          <w:lang w:val="ru-RU"/>
        </w:rPr>
        <w:t>Услуги по проведению технического осмотра транспортных средств</w:t>
      </w:r>
    </w:p>
    <w:tbl>
      <w:tblPr>
        <w:tblW w:w="981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1021"/>
        <w:gridCol w:w="4968"/>
        <w:gridCol w:w="1702"/>
        <w:gridCol w:w="2118"/>
      </w:tblGrid>
      <w:tr>
        <w:trPr/>
        <w:tc>
          <w:tcPr>
            <w:tcW w:w="102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b/>
                <w:lang w:val="ru-RU"/>
              </w:rPr>
            </w:pPr>
            <w:r>
              <w:rPr>
                <w:b/>
                <w:lang w:val="ru-RU"/>
              </w:rPr>
              <w:t>№</w:t>
            </w:r>
          </w:p>
          <w:p>
            <w:pPr>
              <w:pStyle w:val="Normal"/>
              <w:keepNext w:val="true"/>
              <w:widowControl w:val="false"/>
              <w:suppressAutoHyphens w:val="true"/>
              <w:jc w:val="center"/>
              <w:rPr>
                <w:b/>
                <w:lang w:val="ru-RU"/>
              </w:rPr>
            </w:pPr>
            <w:r>
              <w:rPr>
                <w:b/>
                <w:lang w:val="ru-RU"/>
              </w:rPr>
              <w:t>п/п</w:t>
            </w:r>
          </w:p>
        </w:tc>
        <w:tc>
          <w:tcPr>
            <w:tcW w:w="496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b/>
                <w:lang w:val="ru-RU"/>
              </w:rPr>
            </w:pPr>
            <w:r>
              <w:rPr>
                <w:b/>
                <w:lang w:val="ru-RU"/>
              </w:rPr>
              <w:t>Наименование услуг / этапа услуг</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b/>
                <w:lang w:val="ru-RU"/>
              </w:rPr>
            </w:pPr>
            <w:r>
              <w:rPr>
                <w:b/>
                <w:lang w:val="ru-RU"/>
              </w:rPr>
              <w:t>Единица измерения</w:t>
            </w:r>
          </w:p>
        </w:tc>
        <w:tc>
          <w:tcPr>
            <w:tcW w:w="211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b/>
                <w:lang w:val="ru-RU"/>
              </w:rPr>
            </w:pPr>
            <w:r>
              <w:rPr>
                <w:b/>
                <w:lang w:val="ru-RU"/>
              </w:rPr>
              <w:t>Количество</w:t>
            </w:r>
          </w:p>
        </w:tc>
      </w:tr>
      <w:tr>
        <w:trPr>
          <w:trHeight w:val="252" w:hRule="atLeast"/>
        </w:trPr>
        <w:tc>
          <w:tcPr>
            <w:tcW w:w="10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b/>
                <w:lang w:val="ru-RU"/>
              </w:rPr>
            </w:pPr>
            <w:r>
              <w:rPr>
                <w:b/>
                <w:lang w:val="ru-RU"/>
              </w:rPr>
              <w:t>1</w:t>
            </w:r>
          </w:p>
        </w:tc>
        <w:tc>
          <w:tcPr>
            <w:tcW w:w="4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b/>
                <w:lang w:val="ru-RU"/>
              </w:rPr>
            </w:pPr>
            <w:r>
              <w:rPr>
                <w:b/>
                <w:lang w:val="ru-RU"/>
              </w:rPr>
              <w:t>2</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b/>
                <w:lang w:val="ru-RU"/>
              </w:rPr>
            </w:pPr>
            <w:r>
              <w:rPr>
                <w:b/>
                <w:lang w:val="ru-RU"/>
              </w:rPr>
              <w:t>3</w:t>
            </w:r>
          </w:p>
        </w:tc>
        <w:tc>
          <w:tcPr>
            <w:tcW w:w="2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b/>
                <w:lang w:val="ru-RU"/>
              </w:rPr>
            </w:pPr>
            <w:r>
              <w:rPr>
                <w:b/>
                <w:lang w:val="ru-RU"/>
              </w:rPr>
              <w:t>4</w:t>
            </w:r>
          </w:p>
        </w:tc>
      </w:tr>
      <w:tr>
        <w:trPr/>
        <w:tc>
          <w:tcPr>
            <w:tcW w:w="10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0"/>
              </w:numPr>
              <w:suppressAutoHyphens w:val="true"/>
              <w:spacing w:before="0" w:after="0"/>
              <w:contextualSpacing/>
              <w:jc w:val="center"/>
              <w:rPr>
                <w:rFonts w:eastAsia="Calibri"/>
                <w:lang w:val="ru-RU"/>
              </w:rPr>
            </w:pPr>
            <w:r>
              <w:rPr>
                <w:rFonts w:eastAsia="Calibri"/>
                <w:lang w:val="ru-RU"/>
              </w:rPr>
            </w:r>
          </w:p>
        </w:tc>
        <w:tc>
          <w:tcPr>
            <w:tcW w:w="4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ОКПД 2: 71.20.14.000 Услуги по проведению технического осмотра транспортных средств для нужд Камчатского филиала АО "ТК РусГидро". Пассажирские автомобили легковые до 8 посадочных мест (М1)</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услуга</w:t>
            </w:r>
          </w:p>
        </w:tc>
        <w:tc>
          <w:tcPr>
            <w:tcW w:w="211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uppressAutoHyphens w:val="true"/>
              <w:jc w:val="center"/>
              <w:rPr>
                <w:rFonts w:ascii="Calibri" w:hAnsi="Calibri" w:cs="Calibri"/>
                <w:color w:val="000000"/>
                <w:szCs w:val="22"/>
                <w:lang w:val="ru-RU"/>
              </w:rPr>
            </w:pPr>
            <w:r>
              <w:rPr>
                <w:rFonts w:cs="Calibri" w:ascii="Calibri" w:hAnsi="Calibri"/>
                <w:color w:val="000000"/>
                <w:szCs w:val="22"/>
                <w:lang w:val="ru-RU"/>
              </w:rPr>
              <w:t>106</w:t>
            </w:r>
          </w:p>
        </w:tc>
      </w:tr>
      <w:tr>
        <w:trPr/>
        <w:tc>
          <w:tcPr>
            <w:tcW w:w="10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0"/>
              </w:numPr>
              <w:suppressAutoHyphens w:val="true"/>
              <w:spacing w:before="0" w:after="0"/>
              <w:contextualSpacing/>
              <w:jc w:val="center"/>
              <w:rPr>
                <w:rFonts w:eastAsia="Calibri"/>
                <w:lang w:val="ru-RU"/>
              </w:rPr>
            </w:pPr>
            <w:r>
              <w:rPr>
                <w:rFonts w:eastAsia="Calibri"/>
                <w:lang w:val="ru-RU"/>
              </w:rPr>
            </w:r>
          </w:p>
        </w:tc>
        <w:tc>
          <w:tcPr>
            <w:tcW w:w="4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ОКПД 2: 71.20.14.000 Услуги по проведению технического осмотра транспортных средств для нужд Камчатского филиала АО "ТК РусГидро". Пассажирские автомобили более 8 посадочных мест, технически допустимая максимальная масса которых не превышает 5 тонн (М2)</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услуга</w:t>
            </w:r>
          </w:p>
        </w:tc>
        <w:tc>
          <w:tcPr>
            <w:tcW w:w="2118" w:type="dxa"/>
            <w:tcBorders>
              <w:left w:val="single" w:sz="8" w:space="0" w:color="000000"/>
              <w:bottom w:val="single" w:sz="8" w:space="0" w:color="000000"/>
              <w:right w:val="single" w:sz="8" w:space="0" w:color="000000"/>
            </w:tcBorders>
            <w:shd w:color="auto" w:fill="auto" w:val="clear"/>
            <w:vAlign w:val="center"/>
          </w:tcPr>
          <w:p>
            <w:pPr>
              <w:pStyle w:val="Normal"/>
              <w:widowControl w:val="false"/>
              <w:suppressAutoHyphens w:val="true"/>
              <w:jc w:val="center"/>
              <w:rPr>
                <w:rFonts w:ascii="Calibri" w:hAnsi="Calibri" w:cs="Calibri"/>
                <w:color w:val="000000"/>
                <w:szCs w:val="22"/>
                <w:lang w:val="ru-RU"/>
              </w:rPr>
            </w:pPr>
            <w:r>
              <w:rPr>
                <w:rFonts w:cs="Calibri" w:ascii="Calibri" w:hAnsi="Calibri"/>
                <w:color w:val="000000"/>
                <w:szCs w:val="22"/>
                <w:lang w:val="ru-RU"/>
              </w:rPr>
              <w:t>2</w:t>
            </w:r>
          </w:p>
          <w:p>
            <w:pPr>
              <w:pStyle w:val="Normal"/>
              <w:widowControl w:val="false"/>
              <w:suppressAutoHyphens w:val="true"/>
              <w:jc w:val="center"/>
              <w:rPr>
                <w:rFonts w:ascii="Calibri" w:hAnsi="Calibri" w:cs="Calibri"/>
                <w:color w:val="000000"/>
                <w:szCs w:val="22"/>
                <w:lang w:val="ru-RU"/>
              </w:rPr>
            </w:pPr>
            <w:r>
              <w:rPr>
                <w:rFonts w:cs="Calibri" w:ascii="Calibri" w:hAnsi="Calibri"/>
                <w:color w:val="000000"/>
                <w:szCs w:val="22"/>
                <w:lang w:val="ru-RU"/>
              </w:rPr>
            </w:r>
          </w:p>
        </w:tc>
      </w:tr>
      <w:tr>
        <w:trPr/>
        <w:tc>
          <w:tcPr>
            <w:tcW w:w="10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0"/>
              </w:numPr>
              <w:suppressAutoHyphens w:val="true"/>
              <w:spacing w:before="0" w:after="0"/>
              <w:contextualSpacing/>
              <w:jc w:val="center"/>
              <w:rPr>
                <w:rFonts w:eastAsia="Calibri"/>
                <w:lang w:val="ru-RU"/>
              </w:rPr>
            </w:pPr>
            <w:r>
              <w:rPr>
                <w:rFonts w:eastAsia="Calibri"/>
                <w:lang w:val="ru-RU"/>
              </w:rPr>
            </w:r>
          </w:p>
        </w:tc>
        <w:tc>
          <w:tcPr>
            <w:tcW w:w="4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ОКПД 2: 71.20.14.000 Услуги по проведению технического осмотра транспортных средств для нужд Камчатского филиала АО "ТК РусГидро". Пассажирские автомобили более 8 посадочных мест, технически допустимая максимальная масса которая превышает 5 тонн (М3)</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услуга</w:t>
            </w:r>
          </w:p>
        </w:tc>
        <w:tc>
          <w:tcPr>
            <w:tcW w:w="2118" w:type="dxa"/>
            <w:tcBorders>
              <w:left w:val="single" w:sz="8" w:space="0" w:color="000000"/>
              <w:bottom w:val="single" w:sz="8" w:space="0" w:color="000000"/>
              <w:right w:val="single" w:sz="8" w:space="0" w:color="000000"/>
            </w:tcBorders>
            <w:shd w:color="auto" w:fill="auto" w:val="clear"/>
            <w:vAlign w:val="center"/>
          </w:tcPr>
          <w:p>
            <w:pPr>
              <w:pStyle w:val="Normal"/>
              <w:widowControl w:val="false"/>
              <w:suppressAutoHyphens w:val="true"/>
              <w:jc w:val="center"/>
              <w:rPr>
                <w:rFonts w:ascii="Calibri" w:hAnsi="Calibri" w:cs="Calibri"/>
                <w:color w:val="000000"/>
                <w:szCs w:val="22"/>
                <w:lang w:val="ru-RU"/>
              </w:rPr>
            </w:pPr>
            <w:r>
              <w:rPr>
                <w:rFonts w:cs="Calibri" w:ascii="Calibri" w:hAnsi="Calibri"/>
                <w:color w:val="000000"/>
                <w:szCs w:val="22"/>
                <w:lang w:val="ru-RU"/>
              </w:rPr>
              <w:t>12</w:t>
            </w:r>
          </w:p>
        </w:tc>
      </w:tr>
      <w:tr>
        <w:trPr/>
        <w:tc>
          <w:tcPr>
            <w:tcW w:w="10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0"/>
              </w:numPr>
              <w:suppressAutoHyphens w:val="true"/>
              <w:spacing w:before="0" w:after="0"/>
              <w:contextualSpacing/>
              <w:jc w:val="center"/>
              <w:rPr>
                <w:rFonts w:eastAsia="Calibri"/>
                <w:lang w:val="ru-RU"/>
              </w:rPr>
            </w:pPr>
            <w:r>
              <w:rPr>
                <w:rFonts w:eastAsia="Calibri"/>
                <w:lang w:val="ru-RU"/>
              </w:rPr>
            </w:r>
          </w:p>
        </w:tc>
        <w:tc>
          <w:tcPr>
            <w:tcW w:w="4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ОКПД 2: 71.20.14.000 Услуги по проведению технического осмотра транспортных средств для нужд Камчатского филиала АО "ТК РусГидро". Грузовые автомобили имеющие технически допустимую максимальную массу не более 3,5 тонн (N1)</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услуга</w:t>
            </w:r>
          </w:p>
        </w:tc>
        <w:tc>
          <w:tcPr>
            <w:tcW w:w="2118" w:type="dxa"/>
            <w:tcBorders>
              <w:left w:val="single" w:sz="8" w:space="0" w:color="000000"/>
              <w:bottom w:val="single" w:sz="8" w:space="0" w:color="000000"/>
              <w:right w:val="single" w:sz="8" w:space="0" w:color="000000"/>
            </w:tcBorders>
            <w:shd w:color="auto" w:fill="auto" w:val="clear"/>
            <w:vAlign w:val="center"/>
          </w:tcPr>
          <w:p>
            <w:pPr>
              <w:pStyle w:val="Normal"/>
              <w:widowControl w:val="false"/>
              <w:suppressAutoHyphens w:val="true"/>
              <w:jc w:val="center"/>
              <w:rPr>
                <w:rFonts w:ascii="Calibri" w:hAnsi="Calibri" w:cs="Calibri"/>
                <w:color w:val="000000"/>
                <w:szCs w:val="22"/>
                <w:lang w:val="ru-RU"/>
              </w:rPr>
            </w:pPr>
            <w:r>
              <w:rPr>
                <w:rFonts w:cs="Calibri" w:ascii="Calibri" w:hAnsi="Calibri"/>
                <w:color w:val="000000"/>
                <w:szCs w:val="22"/>
                <w:lang w:val="ru-RU"/>
              </w:rPr>
              <w:t>19</w:t>
            </w:r>
          </w:p>
        </w:tc>
      </w:tr>
      <w:tr>
        <w:trPr/>
        <w:tc>
          <w:tcPr>
            <w:tcW w:w="10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0"/>
              </w:numPr>
              <w:suppressAutoHyphens w:val="true"/>
              <w:spacing w:before="0" w:after="0"/>
              <w:contextualSpacing/>
              <w:jc w:val="center"/>
              <w:rPr>
                <w:rFonts w:eastAsia="Calibri"/>
                <w:lang w:val="ru-RU"/>
              </w:rPr>
            </w:pPr>
            <w:r>
              <w:rPr>
                <w:rFonts w:eastAsia="Calibri"/>
                <w:lang w:val="ru-RU"/>
              </w:rPr>
            </w:r>
          </w:p>
        </w:tc>
        <w:tc>
          <w:tcPr>
            <w:tcW w:w="4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ОКПД 2: 71.20.14.000 Услуги по проведению технического осмотра транспортных средств для нужд Камчатского филиала АО "ТК РусГидро". Грузовые автомобили имеющие технически допустимую максимальную массу свыше 3,5 тонн, но не более 12 тонн (N2)</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услуга</w:t>
            </w:r>
          </w:p>
        </w:tc>
        <w:tc>
          <w:tcPr>
            <w:tcW w:w="2118" w:type="dxa"/>
            <w:tcBorders>
              <w:left w:val="single" w:sz="8" w:space="0" w:color="000000"/>
              <w:bottom w:val="single" w:sz="8" w:space="0" w:color="000000"/>
              <w:right w:val="single" w:sz="8" w:space="0" w:color="000000"/>
            </w:tcBorders>
            <w:shd w:color="auto" w:fill="auto" w:val="clear"/>
            <w:vAlign w:val="center"/>
          </w:tcPr>
          <w:p>
            <w:pPr>
              <w:pStyle w:val="Normal"/>
              <w:widowControl w:val="false"/>
              <w:suppressAutoHyphens w:val="true"/>
              <w:jc w:val="center"/>
              <w:rPr>
                <w:rFonts w:ascii="Calibri" w:hAnsi="Calibri" w:cs="Calibri"/>
                <w:color w:val="000000"/>
                <w:szCs w:val="22"/>
                <w:lang w:val="ru-RU"/>
              </w:rPr>
            </w:pPr>
            <w:r>
              <w:rPr>
                <w:rFonts w:cs="Calibri" w:ascii="Calibri" w:hAnsi="Calibri"/>
                <w:color w:val="000000"/>
                <w:szCs w:val="22"/>
                <w:lang w:val="ru-RU"/>
              </w:rPr>
              <w:t>50</w:t>
            </w:r>
          </w:p>
        </w:tc>
      </w:tr>
      <w:tr>
        <w:trPr/>
        <w:tc>
          <w:tcPr>
            <w:tcW w:w="10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0"/>
              </w:numPr>
              <w:suppressAutoHyphens w:val="true"/>
              <w:spacing w:before="0" w:after="0"/>
              <w:contextualSpacing/>
              <w:jc w:val="center"/>
              <w:rPr>
                <w:rFonts w:eastAsia="Calibri"/>
                <w:lang w:val="ru-RU"/>
              </w:rPr>
            </w:pPr>
            <w:r>
              <w:rPr>
                <w:rFonts w:eastAsia="Calibri"/>
                <w:lang w:val="ru-RU"/>
              </w:rPr>
            </w:r>
          </w:p>
        </w:tc>
        <w:tc>
          <w:tcPr>
            <w:tcW w:w="4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ОКПД 2: 71.20.14.000 Услуги по проведению технического осмотра транспортных средств для нужд Камчатского филиала АО "ТК РусГидро". Грузовые автомобили имеющие технически допустимую максимальную массу более 12 тонн (N3)</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услуга</w:t>
            </w:r>
          </w:p>
        </w:tc>
        <w:tc>
          <w:tcPr>
            <w:tcW w:w="2118" w:type="dxa"/>
            <w:tcBorders>
              <w:left w:val="single" w:sz="8" w:space="0" w:color="000000"/>
              <w:bottom w:val="single" w:sz="4" w:space="0" w:color="000000"/>
              <w:right w:val="single" w:sz="8" w:space="0" w:color="000000"/>
            </w:tcBorders>
            <w:shd w:color="auto" w:fill="auto" w:val="clear"/>
            <w:vAlign w:val="center"/>
          </w:tcPr>
          <w:p>
            <w:pPr>
              <w:pStyle w:val="Normal"/>
              <w:widowControl w:val="false"/>
              <w:suppressAutoHyphens w:val="true"/>
              <w:jc w:val="center"/>
              <w:rPr>
                <w:rFonts w:ascii="Calibri" w:hAnsi="Calibri" w:cs="Calibri"/>
                <w:color w:val="000000"/>
                <w:szCs w:val="22"/>
                <w:lang w:val="ru-RU"/>
              </w:rPr>
            </w:pPr>
            <w:r>
              <w:rPr>
                <w:rFonts w:cs="Calibri" w:ascii="Calibri" w:hAnsi="Calibri"/>
                <w:color w:val="000000"/>
                <w:szCs w:val="22"/>
                <w:lang w:val="ru-RU"/>
              </w:rPr>
              <w:t>78</w:t>
            </w:r>
          </w:p>
        </w:tc>
      </w:tr>
      <w:tr>
        <w:trPr/>
        <w:tc>
          <w:tcPr>
            <w:tcW w:w="10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0"/>
              </w:numPr>
              <w:suppressAutoHyphens w:val="true"/>
              <w:spacing w:before="0" w:after="0"/>
              <w:contextualSpacing/>
              <w:jc w:val="center"/>
              <w:rPr>
                <w:rFonts w:eastAsia="Calibri"/>
                <w:lang w:val="ru-RU"/>
              </w:rPr>
            </w:pPr>
            <w:r>
              <w:rPr>
                <w:rFonts w:eastAsia="Calibri"/>
                <w:lang w:val="ru-RU"/>
              </w:rPr>
            </w:r>
          </w:p>
        </w:tc>
        <w:tc>
          <w:tcPr>
            <w:tcW w:w="4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890" w:leader="none"/>
              </w:tabs>
              <w:suppressAutoHyphens w:val="true"/>
              <w:jc w:val="center"/>
              <w:rPr>
                <w:lang w:val="ru-RU"/>
              </w:rPr>
            </w:pPr>
            <w:r>
              <w:rPr>
                <w:lang w:val="ru-RU"/>
              </w:rPr>
              <w:t>ОКПД 2: 71.20.14.000 Услуги по проведению технического осмотра транспортных средств для нужд Камчатского филиала АО "ТК РусГидро". Грузовые автомобили имеющие технически допустимую максимальную массу более 12 тонн, специализированные для перевозки нефтепродуктов (N3)</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r>
          </w:p>
          <w:p>
            <w:pPr>
              <w:pStyle w:val="Normal"/>
              <w:widowControl w:val="false"/>
              <w:suppressAutoHyphens w:val="true"/>
              <w:jc w:val="center"/>
              <w:rPr>
                <w:lang w:val="ru-RU"/>
              </w:rPr>
            </w:pPr>
            <w:r>
              <w:rPr>
                <w:lang w:val="ru-RU"/>
              </w:rPr>
              <w:t>услуга</w:t>
            </w:r>
          </w:p>
        </w:tc>
        <w:tc>
          <w:tcPr>
            <w:tcW w:w="2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rFonts w:ascii="Calibri" w:hAnsi="Calibri" w:cs="Calibri"/>
                <w:color w:val="000000"/>
                <w:szCs w:val="22"/>
                <w:lang w:val="ru-RU"/>
              </w:rPr>
            </w:pPr>
            <w:r>
              <w:rPr>
                <w:rFonts w:cs="Calibri" w:ascii="Calibri" w:hAnsi="Calibri"/>
                <w:color w:val="000000"/>
                <w:szCs w:val="22"/>
                <w:lang w:val="ru-RU"/>
              </w:rPr>
              <w:t>18</w:t>
            </w:r>
          </w:p>
        </w:tc>
      </w:tr>
      <w:tr>
        <w:trPr/>
        <w:tc>
          <w:tcPr>
            <w:tcW w:w="10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0"/>
              </w:numPr>
              <w:suppressAutoHyphens w:val="true"/>
              <w:spacing w:before="0" w:after="0"/>
              <w:contextualSpacing/>
              <w:jc w:val="center"/>
              <w:rPr>
                <w:rFonts w:eastAsia="Calibri"/>
                <w:lang w:val="en-US"/>
              </w:rPr>
            </w:pPr>
            <w:r>
              <w:rPr>
                <w:rFonts w:eastAsia="Calibri"/>
                <w:lang w:val="en-US"/>
              </w:rPr>
            </w:r>
          </w:p>
        </w:tc>
        <w:tc>
          <w:tcPr>
            <w:tcW w:w="4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ОКПД 2: 71.20.14.000 Услуги по проведению технического осмотра транспортных средств для нужд Камчатского филиала АО "ТК РусГидро". Прицепы и полуприцепы грузовые технически допустимая максимальная масса которых от 0,75 до 3,5 тонн (О2)</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услуга</w:t>
            </w:r>
          </w:p>
        </w:tc>
        <w:tc>
          <w:tcPr>
            <w:tcW w:w="2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rFonts w:ascii="Calibri" w:hAnsi="Calibri" w:cs="Calibri"/>
                <w:color w:val="000000"/>
                <w:szCs w:val="22"/>
                <w:lang w:val="ru-RU"/>
              </w:rPr>
            </w:pPr>
            <w:r>
              <w:rPr>
                <w:rFonts w:cs="Calibri" w:ascii="Calibri" w:hAnsi="Calibri"/>
                <w:color w:val="000000"/>
                <w:szCs w:val="22"/>
                <w:lang w:val="ru-RU"/>
              </w:rPr>
              <w:t>2</w:t>
            </w:r>
          </w:p>
        </w:tc>
      </w:tr>
      <w:tr>
        <w:trPr/>
        <w:tc>
          <w:tcPr>
            <w:tcW w:w="10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0"/>
              </w:numPr>
              <w:suppressAutoHyphens w:val="true"/>
              <w:spacing w:before="0" w:after="0"/>
              <w:contextualSpacing/>
              <w:jc w:val="center"/>
              <w:rPr>
                <w:rFonts w:eastAsia="Calibri"/>
                <w:lang w:val="ru-RU"/>
              </w:rPr>
            </w:pPr>
            <w:r>
              <w:rPr>
                <w:rFonts w:eastAsia="Calibri"/>
                <w:lang w:val="ru-RU"/>
              </w:rPr>
            </w:r>
          </w:p>
        </w:tc>
        <w:tc>
          <w:tcPr>
            <w:tcW w:w="4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ОКПД 2: 71.20.14.000 Услуги по проведению технического осмотра транспортных средств для нужд Камчатского филиала АО "ТК РусГидро". Прицепы и полуприцепы грузовые технически допустимая  максимальная масса которых свыше 10 тонн (О4)</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услуга</w:t>
            </w:r>
          </w:p>
        </w:tc>
        <w:tc>
          <w:tcPr>
            <w:tcW w:w="2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rFonts w:ascii="Calibri" w:hAnsi="Calibri" w:cs="Calibri"/>
                <w:color w:val="000000"/>
                <w:szCs w:val="22"/>
                <w:lang w:val="ru-RU"/>
              </w:rPr>
            </w:pPr>
            <w:r>
              <w:rPr>
                <w:rFonts w:cs="Calibri" w:ascii="Calibri" w:hAnsi="Calibri"/>
                <w:color w:val="000000"/>
                <w:szCs w:val="22"/>
                <w:lang w:val="ru-RU"/>
              </w:rPr>
              <w:t>3</w:t>
            </w:r>
          </w:p>
        </w:tc>
      </w:tr>
      <w:tr>
        <w:trPr/>
        <w:tc>
          <w:tcPr>
            <w:tcW w:w="10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0"/>
              </w:numPr>
              <w:suppressAutoHyphens w:val="true"/>
              <w:spacing w:before="0" w:after="0"/>
              <w:contextualSpacing/>
              <w:jc w:val="center"/>
              <w:rPr>
                <w:rFonts w:eastAsia="Calibri"/>
                <w:lang w:val="en-US"/>
              </w:rPr>
            </w:pPr>
            <w:r>
              <w:rPr>
                <w:rFonts w:eastAsia="Calibri"/>
                <w:lang w:val="en-US"/>
              </w:rPr>
            </w:r>
          </w:p>
        </w:tc>
        <w:tc>
          <w:tcPr>
            <w:tcW w:w="4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ОКПД 2: 71.20.14.000 Услуги по проведению технического осмотра транспортных средств для нужд Камчатского филиала АО "ТК РусГидро". Технически допустимая  максимальная масса которых свыше 10 тонн, специализированные для перевозки нефтепродуктов (О4)</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услуга</w:t>
            </w:r>
          </w:p>
        </w:tc>
        <w:tc>
          <w:tcPr>
            <w:tcW w:w="21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rFonts w:ascii="Calibri" w:hAnsi="Calibri" w:cs="Calibri"/>
                <w:color w:val="000000"/>
                <w:szCs w:val="22"/>
                <w:lang w:val="ru-RU"/>
              </w:rPr>
            </w:pPr>
            <w:bookmarkStart w:id="47" w:name="_GoBack_Копия_1"/>
            <w:bookmarkEnd w:id="47"/>
            <w:r>
              <w:rPr>
                <w:rFonts w:cs="Calibri" w:ascii="Calibri" w:hAnsi="Calibri"/>
                <w:color w:val="000000"/>
                <w:szCs w:val="22"/>
                <w:lang w:val="ru-RU"/>
              </w:rPr>
              <w:t>2</w:t>
            </w:r>
          </w:p>
        </w:tc>
      </w:tr>
    </w:tbl>
    <w:p>
      <w:pPr>
        <w:pStyle w:val="Normal"/>
        <w:widowControl w:val="false"/>
        <w:tabs>
          <w:tab w:val="clear" w:pos="709"/>
          <w:tab w:val="left" w:pos="426" w:leader="none"/>
        </w:tabs>
        <w:suppressAutoHyphens w:val="true"/>
        <w:spacing w:before="120" w:after="120"/>
        <w:ind w:firstLine="142"/>
        <w:rPr>
          <w:bCs/>
          <w:i/>
          <w:i/>
          <w:shd w:fill="FFFF99" w:val="clear"/>
          <w:lang w:val="ru-RU"/>
        </w:rPr>
      </w:pPr>
      <w:r>
        <w:rPr>
          <w:bCs/>
          <w:i/>
          <w:shd w:fill="FFFF99" w:val="clear"/>
          <w:lang w:val="ru-RU"/>
        </w:rPr>
      </w:r>
    </w:p>
    <w:p>
      <w:pPr>
        <w:pStyle w:val="Normal"/>
        <w:keepNext w:val="true"/>
        <w:numPr>
          <w:ilvl w:val="0"/>
          <w:numId w:val="0"/>
        </w:numPr>
        <w:tabs>
          <w:tab w:val="clear" w:pos="709"/>
          <w:tab w:val="left" w:pos="0" w:leader="none"/>
        </w:tabs>
        <w:suppressAutoHyphens w:val="true"/>
        <w:spacing w:before="120" w:after="60"/>
        <w:ind w:left="1224" w:hanging="504"/>
        <w:outlineLvl w:val="2"/>
        <w:rPr>
          <w:rFonts w:eastAsia="Calibri"/>
          <w:b/>
          <w:lang w:val="ru-RU" w:eastAsia="x-none"/>
        </w:rPr>
      </w:pPr>
      <w:bookmarkStart w:id="48" w:name="_Toc142558693"/>
      <w:bookmarkStart w:id="49" w:name="_Toc51339696"/>
      <w:r>
        <w:rPr>
          <w:rFonts w:eastAsia="Calibri"/>
          <w:b/>
          <w:lang w:val="ru-RU" w:eastAsia="x-none"/>
        </w:rPr>
        <w:t xml:space="preserve">Требования </w:t>
      </w:r>
      <w:bookmarkEnd w:id="49"/>
      <w:r>
        <w:rPr>
          <w:rFonts w:eastAsia="Calibri"/>
          <w:b/>
          <w:lang w:val="ru-RU" w:eastAsia="x-none"/>
        </w:rPr>
        <w:t>к срокам оказания услуг</w:t>
      </w:r>
      <w:bookmarkEnd w:id="48"/>
    </w:p>
    <w:p>
      <w:pPr>
        <w:pStyle w:val="Normal"/>
        <w:numPr>
          <w:ilvl w:val="3"/>
          <w:numId w:val="26"/>
        </w:numPr>
        <w:suppressAutoHyphens w:val="true"/>
        <w:spacing w:before="0" w:after="0"/>
        <w:contextualSpacing/>
        <w:jc w:val="both"/>
        <w:rPr>
          <w:rFonts w:eastAsia="Calibri"/>
          <w:lang w:val="ru-RU" w:eastAsia="x-none"/>
        </w:rPr>
      </w:pPr>
      <w:r>
        <w:rPr>
          <w:rFonts w:eastAsia="Calibri"/>
          <w:lang w:val="ru-RU" w:eastAsia="x-none"/>
        </w:rPr>
        <w:t>При возникновении необходимости оказания услуг/выполнения работ Заказчик уведомляет об этом Исполнителя, путем направления заявки по электронной почте или факсу.</w:t>
      </w:r>
    </w:p>
    <w:p>
      <w:pPr>
        <w:pStyle w:val="Normal"/>
        <w:numPr>
          <w:ilvl w:val="3"/>
          <w:numId w:val="26"/>
        </w:numPr>
        <w:suppressAutoHyphens w:val="true"/>
        <w:spacing w:before="0" w:after="0"/>
        <w:contextualSpacing/>
        <w:jc w:val="both"/>
        <w:rPr>
          <w:rFonts w:eastAsia="Calibri"/>
          <w:lang w:val="ru-RU" w:eastAsia="x-none"/>
        </w:rPr>
      </w:pPr>
      <w:r>
        <w:rPr>
          <w:rFonts w:eastAsia="Calibri"/>
          <w:lang w:val="ru-RU" w:eastAsia="x-none"/>
        </w:rPr>
        <w:t>На основании полученной заявки в согласованные с Заказчиком сроки, но не позднее 5 (пяти) рабочих дней с момента получения Исполнителем заявки от Заказчика, Исполнитель направляет свой сервисный персонал для оказания услуг/выполнения работ.</w:t>
      </w:r>
    </w:p>
    <w:p>
      <w:pPr>
        <w:pStyle w:val="Normal"/>
        <w:numPr>
          <w:ilvl w:val="3"/>
          <w:numId w:val="26"/>
        </w:numPr>
        <w:suppressAutoHyphens w:val="true"/>
        <w:spacing w:before="0" w:after="0"/>
        <w:contextualSpacing/>
        <w:jc w:val="both"/>
        <w:rPr>
          <w:rFonts w:eastAsia="Calibri"/>
          <w:lang w:val="ru-RU" w:eastAsia="x-none"/>
        </w:rPr>
      </w:pPr>
      <w:r>
        <w:rPr>
          <w:rFonts w:eastAsia="Calibri"/>
          <w:lang w:val="ru-RU" w:eastAsia="x-none"/>
        </w:rPr>
        <w:t>Сроки оказания услуг/выполнения работ определяются сервисным персоналом Исполнителя с момента обращения Заказчика услуг/выполнения работ в зависимости от их объема и сложности, но в любом случае составляют не более 1 дня с момента получения заявки от Заказчика (за исключением случаев, приведенных в п. 2.1.2.4. настоящего Технического требования). Досрочное выполнение работ/оказание услуг является допустимым.</w:t>
      </w:r>
    </w:p>
    <w:p>
      <w:pPr>
        <w:pStyle w:val="Normal"/>
        <w:numPr>
          <w:ilvl w:val="3"/>
          <w:numId w:val="26"/>
        </w:numPr>
        <w:suppressAutoHyphens w:val="true"/>
        <w:spacing w:lineRule="auto" w:line="259" w:before="0" w:after="160"/>
        <w:jc w:val="both"/>
        <w:rPr>
          <w:rFonts w:eastAsia="Calibri"/>
          <w:lang w:val="ru-RU" w:eastAsia="x-none"/>
        </w:rPr>
      </w:pPr>
      <w:r>
        <w:rPr>
          <w:lang w:val="ru-RU"/>
        </w:rPr>
        <w:t>Сроки оказания услуг/выполнения работ подлежат продлению в случае необходимости привлечения дополнительного персонала Исполнителя или использования дополнительных запасных частей. При отсутствии запасных частей/расходных материалов на складе Заказчика, Исполнителя или на заводе-изготовителе срок исполнения обязательств соразмерно продлевается на срок, необходимый для поставки запасных частей/расходных материалов, который в любом случае не может составлять менее срока производства соответствующих запасных частей/расходных материалов на заводе-изготовителе, увеличенного на срок её доставки в место оказания услуг/выполнения работ.</w:t>
      </w:r>
    </w:p>
    <w:p>
      <w:pPr>
        <w:pStyle w:val="Normal"/>
        <w:keepNext w:val="true"/>
        <w:keepLines/>
        <w:numPr>
          <w:ilvl w:val="0"/>
          <w:numId w:val="0"/>
        </w:numPr>
        <w:suppressAutoHyphens w:val="true"/>
        <w:spacing w:before="240" w:after="60"/>
        <w:outlineLvl w:val="0"/>
        <w:rPr>
          <w:rFonts w:eastAsia="Calibri"/>
          <w:b/>
          <w:lang w:val="ru-RU" w:eastAsia="x-none"/>
        </w:rPr>
      </w:pPr>
      <w:bookmarkStart w:id="50" w:name="_Toc142558694"/>
      <w:bookmarkStart w:id="51" w:name="_Toc50125127"/>
      <w:bookmarkStart w:id="52" w:name="_Toc51339697"/>
      <w:bookmarkEnd w:id="33"/>
      <w:r>
        <w:rPr>
          <w:rFonts w:eastAsia="Calibri"/>
          <w:b/>
          <w:lang w:val="x-none" w:eastAsia="x-none"/>
        </w:rPr>
        <w:t xml:space="preserve">Таблица </w:t>
      </w:r>
      <w:r>
        <w:rPr>
          <w:rFonts w:eastAsia="Calibri"/>
          <w:b/>
          <w:lang w:val="ru-RU" w:eastAsia="x-none"/>
        </w:rPr>
        <w:t>3</w:t>
      </w:r>
      <w:r>
        <w:rPr>
          <w:rFonts w:eastAsia="Calibri"/>
          <w:b/>
          <w:lang w:val="x-none" w:eastAsia="x-none"/>
        </w:rPr>
        <w:t xml:space="preserve">. </w:t>
      </w:r>
      <w:bookmarkStart w:id="53" w:name="_Hlk50465284"/>
      <w:r>
        <w:rPr>
          <w:rFonts w:eastAsia="Calibri"/>
          <w:b/>
          <w:lang w:val="x-none" w:eastAsia="x-none"/>
        </w:rPr>
        <w:t xml:space="preserve">Требования </w:t>
      </w:r>
      <w:r>
        <w:rPr>
          <w:rFonts w:eastAsia="Calibri"/>
          <w:b/>
          <w:lang w:val="ru-RU" w:eastAsia="x-none"/>
        </w:rPr>
        <w:t>к</w:t>
      </w:r>
      <w:r>
        <w:rPr>
          <w:rFonts w:eastAsia="Calibri"/>
          <w:b/>
          <w:lang w:val="x-none" w:eastAsia="x-none"/>
        </w:rPr>
        <w:t xml:space="preserve"> срокам </w:t>
      </w:r>
      <w:bookmarkEnd w:id="51"/>
      <w:bookmarkEnd w:id="52"/>
      <w:bookmarkEnd w:id="53"/>
      <w:r>
        <w:rPr>
          <w:rFonts w:eastAsia="Calibri"/>
          <w:b/>
          <w:lang w:val="ru-RU" w:eastAsia="x-none"/>
        </w:rPr>
        <w:t>оказания услуг</w:t>
      </w:r>
      <w:bookmarkEnd w:id="50"/>
    </w:p>
    <w:p>
      <w:pPr>
        <w:pStyle w:val="Normal"/>
        <w:suppressAutoHyphens w:val="true"/>
        <w:rPr>
          <w:b/>
          <w:lang w:val="ru-RU"/>
        </w:rPr>
      </w:pPr>
      <w:r>
        <w:rPr>
          <w:b/>
          <w:lang w:val="ru-RU"/>
        </w:rPr>
      </w:r>
    </w:p>
    <w:tbl>
      <w:tblPr>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31"/>
        <w:gridCol w:w="2549"/>
        <w:gridCol w:w="2980"/>
        <w:gridCol w:w="3115"/>
      </w:tblGrid>
      <w:tr>
        <w:trPr/>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lang w:val="ru-RU"/>
              </w:rPr>
            </w:pPr>
            <w:r>
              <w:rPr>
                <w:lang w:val="ru-RU"/>
              </w:rPr>
              <w:t xml:space="preserve">№ </w:t>
            </w:r>
            <w:r>
              <w:rPr>
                <w:lang w:val="ru-RU"/>
              </w:rPr>
              <w:t>п/п</w:t>
            </w:r>
          </w:p>
        </w:tc>
        <w:tc>
          <w:tcPr>
            <w:tcW w:w="2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lang w:val="ru-RU"/>
              </w:rPr>
            </w:pPr>
            <w:r>
              <w:rPr>
                <w:lang w:val="ru-RU"/>
              </w:rPr>
              <w:t>Наименование услуг/ этапа услуг</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lang w:val="ru-RU"/>
              </w:rPr>
            </w:pPr>
            <w:r>
              <w:rPr>
                <w:lang w:val="ru-RU"/>
              </w:rPr>
              <w:t>Требования к началу срока оказания услуг/ этапа услуг</w:t>
            </w:r>
          </w:p>
        </w:tc>
        <w:tc>
          <w:tcPr>
            <w:tcW w:w="3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rPr>
            </w:pPr>
            <w:r>
              <w:rPr>
                <w:lang w:val="ru-RU"/>
              </w:rPr>
              <w:t>Требования к окончанию срока оказания услуг / этапа услуг</w:t>
            </w:r>
          </w:p>
        </w:tc>
      </w:tr>
      <w:tr>
        <w:trPr/>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lang w:val="ru-RU"/>
              </w:rPr>
            </w:pPr>
            <w:r>
              <w:rPr>
                <w:b/>
                <w:lang w:val="ru-RU"/>
              </w:rPr>
              <w:t>1</w:t>
            </w:r>
          </w:p>
        </w:tc>
        <w:tc>
          <w:tcPr>
            <w:tcW w:w="2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center"/>
              <w:rPr>
                <w:lang w:val="ru-RU"/>
              </w:rPr>
            </w:pPr>
            <w:r>
              <w:rPr>
                <w:b/>
                <w:lang w:val="ru-RU"/>
              </w:rPr>
              <w:t>2</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40" w:after="40"/>
              <w:ind w:left="57" w:right="57" w:hanging="0"/>
              <w:jc w:val="center"/>
              <w:rPr>
                <w:lang w:val="ru-RU"/>
              </w:rPr>
            </w:pPr>
            <w:r>
              <w:rPr>
                <w:b/>
                <w:lang w:val="ru-RU"/>
              </w:rPr>
              <w:t>3</w:t>
            </w:r>
          </w:p>
        </w:tc>
        <w:tc>
          <w:tcPr>
            <w:tcW w:w="31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40" w:after="40"/>
              <w:ind w:left="57" w:right="57" w:hanging="0"/>
              <w:jc w:val="center"/>
              <w:rPr>
                <w:lang w:val="ru-RU"/>
              </w:rPr>
            </w:pPr>
            <w:r>
              <w:rPr>
                <w:b/>
                <w:lang w:val="ru-RU"/>
              </w:rPr>
              <w:t>4</w:t>
            </w:r>
            <w:bookmarkEnd w:id="32"/>
          </w:p>
        </w:tc>
      </w:tr>
      <w:tr>
        <w:trPr/>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31"/>
              </w:numPr>
              <w:suppressAutoHyphens w:val="true"/>
              <w:spacing w:before="0" w:after="0"/>
              <w:contextualSpacing/>
              <w:jc w:val="center"/>
              <w:rPr>
                <w:rFonts w:eastAsia="Calibri"/>
                <w:lang w:val="ru-RU"/>
              </w:rPr>
            </w:pPr>
            <w:r>
              <w:rPr>
                <w:rFonts w:eastAsia="Calibri"/>
                <w:lang w:val="ru-RU"/>
              </w:rPr>
            </w:r>
          </w:p>
        </w:tc>
        <w:tc>
          <w:tcPr>
            <w:tcW w:w="2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lang w:val="ru-RU"/>
              </w:rPr>
            </w:pPr>
            <w:r>
              <w:rPr>
                <w:lang w:val="ru-RU"/>
              </w:rPr>
              <w:t>Услуга по проведению технического осмотра транспортных средств</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lang w:val="ru-RU"/>
              </w:rPr>
            </w:pPr>
            <w:r>
              <w:rPr>
                <w:lang w:val="ru-RU"/>
              </w:rPr>
              <w:t>С даты заключения договора</w:t>
            </w:r>
          </w:p>
        </w:tc>
        <w:tc>
          <w:tcPr>
            <w:tcW w:w="31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lang w:val="ru-RU"/>
              </w:rPr>
            </w:pPr>
            <w:r>
              <w:rPr>
                <w:lang w:val="ru-RU"/>
              </w:rPr>
              <w:t>Не позднее 5 рабочих дней с момента получения заявки Заказчика (за исключением случаев, приведенных в п. 2.1.2.4. настоящего Технического требования)</w:t>
            </w:r>
          </w:p>
        </w:tc>
      </w:tr>
    </w:tbl>
    <w:p>
      <w:pPr>
        <w:sectPr>
          <w:headerReference w:type="even" r:id="rId6"/>
          <w:headerReference w:type="default" r:id="rId7"/>
          <w:headerReference w:type="first" r:id="rId8"/>
          <w:footnotePr>
            <w:numFmt w:val="decimal"/>
          </w:footnotePr>
          <w:type w:val="nextPage"/>
          <w:pgSz w:w="11906" w:h="16838"/>
          <w:pgMar w:left="1134" w:right="851" w:gutter="0" w:header="680" w:top="1134" w:footer="0" w:bottom="992"/>
          <w:pgNumType w:fmt="decimal"/>
          <w:formProt w:val="false"/>
          <w:titlePg/>
          <w:textDirection w:val="lrTb"/>
          <w:docGrid w:type="default" w:linePitch="381" w:charSpace="0"/>
        </w:sectPr>
      </w:pPr>
    </w:p>
    <w:p>
      <w:pPr>
        <w:pStyle w:val="Normal"/>
        <w:keepNext w:val="true"/>
        <w:numPr>
          <w:ilvl w:val="1"/>
          <w:numId w:val="26"/>
        </w:numPr>
        <w:suppressAutoHyphens w:val="true"/>
        <w:spacing w:before="120" w:after="60"/>
        <w:outlineLvl w:val="3"/>
        <w:rPr>
          <w:rFonts w:eastAsia="Calibri"/>
          <w:b/>
          <w:bCs/>
          <w:lang w:val="x-none" w:eastAsia="x-none"/>
        </w:rPr>
      </w:pPr>
      <w:bookmarkStart w:id="54" w:name="_Toc51339698"/>
      <w:bookmarkStart w:id="55" w:name="_Toc142558695"/>
      <w:bookmarkStart w:id="56" w:name="_Toc46743511"/>
      <w:r>
        <w:rPr>
          <w:rFonts w:eastAsia="Calibri"/>
          <w:b/>
          <w:bCs/>
          <w:lang w:val="x-none" w:eastAsia="x-none"/>
        </w:rPr>
        <w:t xml:space="preserve">Требования к </w:t>
      </w:r>
      <w:bookmarkEnd w:id="56"/>
      <w:r>
        <w:rPr>
          <w:rFonts w:eastAsia="Calibri"/>
          <w:b/>
          <w:bCs/>
          <w:lang w:val="ru-RU" w:eastAsia="x-none"/>
        </w:rPr>
        <w:t>качеству услуг</w:t>
      </w:r>
      <w:bookmarkEnd w:id="55"/>
    </w:p>
    <w:p>
      <w:pPr>
        <w:pStyle w:val="Normal"/>
        <w:keepNext w:val="true"/>
        <w:keepLines/>
        <w:numPr>
          <w:ilvl w:val="0"/>
          <w:numId w:val="0"/>
        </w:numPr>
        <w:suppressAutoHyphens w:val="true"/>
        <w:spacing w:before="240" w:after="60"/>
        <w:outlineLvl w:val="0"/>
        <w:rPr>
          <w:rFonts w:eastAsia="Calibri"/>
          <w:b/>
          <w:lang w:val="x-none" w:eastAsia="x-none"/>
        </w:rPr>
      </w:pPr>
      <w:bookmarkStart w:id="57" w:name="_Toc142558696"/>
      <w:r>
        <w:rPr>
          <w:rFonts w:eastAsia="Calibri"/>
          <w:b/>
          <w:lang w:val="x-none" w:eastAsia="x-none"/>
        </w:rPr>
        <w:t>Таблица </w:t>
      </w:r>
      <w:r>
        <w:rPr>
          <w:rFonts w:eastAsia="Calibri"/>
          <w:b/>
          <w:lang w:val="ru-RU" w:eastAsia="x-none"/>
        </w:rPr>
        <w:t>4</w:t>
      </w:r>
      <w:r>
        <w:rPr>
          <w:rFonts w:eastAsia="Calibri"/>
          <w:b/>
          <w:lang w:val="x-none" w:eastAsia="x-none"/>
        </w:rPr>
        <w:t xml:space="preserve">. Требования к </w:t>
      </w:r>
      <w:bookmarkEnd w:id="54"/>
      <w:r>
        <w:rPr>
          <w:rFonts w:eastAsia="Calibri"/>
          <w:b/>
          <w:lang w:val="ru-RU" w:eastAsia="x-none"/>
        </w:rPr>
        <w:t>качеству услуг</w:t>
      </w:r>
      <w:bookmarkEnd w:id="57"/>
      <w:r>
        <w:rPr>
          <w:rFonts w:eastAsia="Calibri"/>
          <w:b/>
          <w:lang w:val="x-none" w:eastAsia="x-none"/>
        </w:rPr>
        <w:t xml:space="preserve"> </w:t>
      </w:r>
    </w:p>
    <w:p>
      <w:pPr>
        <w:pStyle w:val="Normal"/>
        <w:suppressAutoHyphens w:val="true"/>
        <w:rPr>
          <w:b/>
          <w:lang w:val="ru-RU"/>
        </w:rPr>
      </w:pPr>
      <w:r>
        <w:rPr>
          <w:b/>
          <w:lang w:val="ru-RU"/>
        </w:rPr>
      </w:r>
    </w:p>
    <w:tbl>
      <w:tblPr>
        <w:tblStyle w:val="1f4"/>
        <w:tblW w:w="1488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851"/>
        <w:gridCol w:w="2267"/>
        <w:gridCol w:w="3404"/>
        <w:gridCol w:w="2691"/>
        <w:gridCol w:w="2928"/>
        <w:gridCol w:w="2743"/>
      </w:tblGrid>
      <w:tr>
        <w:trPr/>
        <w:tc>
          <w:tcPr>
            <w:tcW w:w="851" w:type="dxa"/>
            <w:vMerge w:val="restart"/>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 xml:space="preserve">№ </w:t>
            </w:r>
            <w:r>
              <w:rPr>
                <w:rFonts w:eastAsia="Times New Roman" w:cs="Times New Roman"/>
                <w:b/>
                <w:bCs/>
                <w:kern w:val="0"/>
                <w:lang w:val="ru-RU" w:eastAsia="ru-RU" w:bidi="ar-SA"/>
              </w:rPr>
              <w:t>п/п</w:t>
            </w:r>
          </w:p>
        </w:tc>
        <w:tc>
          <w:tcPr>
            <w:tcW w:w="2267" w:type="dxa"/>
            <w:vMerge w:val="restart"/>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Наименование параметра</w:t>
            </w:r>
          </w:p>
        </w:tc>
        <w:tc>
          <w:tcPr>
            <w:tcW w:w="3404" w:type="dxa"/>
            <w:vMerge w:val="restart"/>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Требование заказчика</w:t>
            </w:r>
          </w:p>
        </w:tc>
        <w:tc>
          <w:tcPr>
            <w:tcW w:w="5619" w:type="dxa"/>
            <w:gridSpan w:val="2"/>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Способ подтверждения участником соответствия требованиям</w:t>
            </w:r>
          </w:p>
        </w:tc>
        <w:tc>
          <w:tcPr>
            <w:tcW w:w="2743" w:type="dxa"/>
            <w:vMerge w:val="restart"/>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Предложение участника по характеристикам и параметрам</w:t>
            </w:r>
          </w:p>
        </w:tc>
      </w:tr>
      <w:tr>
        <w:trPr/>
        <w:tc>
          <w:tcPr>
            <w:tcW w:w="851" w:type="dxa"/>
            <w:vMerge w:val="continue"/>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r>
          </w:p>
        </w:tc>
        <w:tc>
          <w:tcPr>
            <w:tcW w:w="2267" w:type="dxa"/>
            <w:vMerge w:val="continue"/>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r>
          </w:p>
        </w:tc>
        <w:tc>
          <w:tcPr>
            <w:tcW w:w="3404" w:type="dxa"/>
            <w:vMerge w:val="continue"/>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r>
          </w:p>
        </w:tc>
        <w:tc>
          <w:tcPr>
            <w:tcW w:w="2691" w:type="dxa"/>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Согласие с требованием/ указание характеристик</w:t>
            </w:r>
          </w:p>
        </w:tc>
        <w:tc>
          <w:tcPr>
            <w:tcW w:w="2928" w:type="dxa"/>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Предоставление подтверждающего документа или иной способ подтверждения</w:t>
            </w:r>
          </w:p>
        </w:tc>
        <w:tc>
          <w:tcPr>
            <w:tcW w:w="2743" w:type="dxa"/>
            <w:vMerge w:val="continue"/>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r>
          </w:p>
        </w:tc>
      </w:tr>
      <w:tr>
        <w:trPr/>
        <w:tc>
          <w:tcPr>
            <w:tcW w:w="851" w:type="dxa"/>
            <w:tcBorders/>
            <w:vAlign w:val="center"/>
          </w:tcPr>
          <w:p>
            <w:pPr>
              <w:pStyle w:val="Normal"/>
              <w:widowControl w:val="false"/>
              <w:suppressAutoHyphens w:val="true"/>
              <w:spacing w:before="0" w:after="0"/>
              <w:jc w:val="center"/>
              <w:rPr>
                <w:b/>
                <w:bCs/>
                <w:lang w:val="ru-RU"/>
              </w:rPr>
            </w:pPr>
            <w:bookmarkStart w:id="58" w:name="_Toc53499667"/>
            <w:r>
              <w:rPr>
                <w:rFonts w:eastAsia="Times New Roman" w:cs="Times New Roman"/>
                <w:b/>
                <w:bCs/>
                <w:kern w:val="0"/>
                <w:lang w:val="ru-RU" w:eastAsia="ru-RU" w:bidi="ar-SA"/>
              </w:rPr>
              <w:t>1</w:t>
            </w:r>
            <w:bookmarkEnd w:id="58"/>
          </w:p>
        </w:tc>
        <w:tc>
          <w:tcPr>
            <w:tcW w:w="2267" w:type="dxa"/>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2</w:t>
            </w:r>
          </w:p>
        </w:tc>
        <w:tc>
          <w:tcPr>
            <w:tcW w:w="3404" w:type="dxa"/>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3</w:t>
            </w:r>
          </w:p>
        </w:tc>
        <w:tc>
          <w:tcPr>
            <w:tcW w:w="2691" w:type="dxa"/>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4</w:t>
            </w:r>
          </w:p>
        </w:tc>
        <w:tc>
          <w:tcPr>
            <w:tcW w:w="2928" w:type="dxa"/>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5</w:t>
            </w:r>
          </w:p>
        </w:tc>
        <w:tc>
          <w:tcPr>
            <w:tcW w:w="2743" w:type="dxa"/>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6</w:t>
            </w:r>
          </w:p>
        </w:tc>
      </w:tr>
      <w:tr>
        <w:trPr/>
        <w:tc>
          <w:tcPr>
            <w:tcW w:w="851" w:type="dxa"/>
            <w:tcBorders/>
            <w:vAlign w:val="center"/>
          </w:tcPr>
          <w:p>
            <w:pPr>
              <w:pStyle w:val="Normal"/>
              <w:widowControl w:val="false"/>
              <w:numPr>
                <w:ilvl w:val="0"/>
                <w:numId w:val="29"/>
              </w:numPr>
              <w:suppressAutoHyphens w:val="true"/>
              <w:spacing w:before="60" w:after="60"/>
              <w:contextualSpacing/>
              <w:jc w:val="center"/>
              <w:rPr>
                <w:rFonts w:eastAsia="Calibri"/>
                <w:lang w:val="ru-RU"/>
              </w:rPr>
            </w:pPr>
            <w:r>
              <w:rPr>
                <w:rFonts w:eastAsia="Calibri" w:cs="Times New Roman"/>
                <w:kern w:val="0"/>
                <w:lang w:val="ru-RU" w:eastAsia="ru-RU" w:bidi="ar-SA"/>
              </w:rPr>
            </w:r>
          </w:p>
        </w:tc>
        <w:tc>
          <w:tcPr>
            <w:tcW w:w="5671" w:type="dxa"/>
            <w:gridSpan w:val="2"/>
            <w:tcBorders/>
            <w:vAlign w:val="center"/>
          </w:tcPr>
          <w:p>
            <w:pPr>
              <w:pStyle w:val="Normal"/>
              <w:widowControl w:val="false"/>
              <w:suppressAutoHyphens w:val="true"/>
              <w:spacing w:before="0" w:after="0"/>
              <w:jc w:val="left"/>
              <w:rPr>
                <w:b/>
                <w:lang w:val="ru-RU"/>
              </w:rPr>
            </w:pPr>
            <w:r>
              <w:rPr>
                <w:rFonts w:eastAsia="Times New Roman" w:cs="Times New Roman"/>
                <w:b/>
                <w:kern w:val="0"/>
                <w:lang w:val="ru-RU" w:eastAsia="ru-RU" w:bidi="ar-SA"/>
              </w:rPr>
              <w:t xml:space="preserve">Требования к оказанию услуг </w:t>
            </w:r>
          </w:p>
        </w:tc>
        <w:tc>
          <w:tcPr>
            <w:tcW w:w="2691"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928"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743"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r>
      <w:tr>
        <w:trPr/>
        <w:tc>
          <w:tcPr>
            <w:tcW w:w="851" w:type="dxa"/>
            <w:tcBorders/>
            <w:vAlign w:val="center"/>
          </w:tcPr>
          <w:p>
            <w:pPr>
              <w:pStyle w:val="Normal"/>
              <w:widowControl w:val="false"/>
              <w:numPr>
                <w:ilvl w:val="1"/>
                <w:numId w:val="29"/>
              </w:numPr>
              <w:suppressAutoHyphens w:val="true"/>
              <w:spacing w:before="60" w:after="60"/>
              <w:ind w:left="-117" w:firstLine="142"/>
              <w:contextualSpacing/>
              <w:jc w:val="center"/>
              <w:rPr>
                <w:rFonts w:eastAsia="Calibri"/>
                <w:b/>
                <w:bCs/>
                <w:lang w:val="ru-RU"/>
              </w:rPr>
            </w:pPr>
            <w:r>
              <w:rPr>
                <w:rFonts w:eastAsia="Calibri" w:cs="Times New Roman"/>
                <w:b/>
                <w:bCs/>
                <w:kern w:val="0"/>
                <w:lang w:val="ru-RU" w:eastAsia="ru-RU" w:bidi="ar-SA"/>
              </w:rPr>
            </w:r>
          </w:p>
        </w:tc>
        <w:tc>
          <w:tcPr>
            <w:tcW w:w="5671" w:type="dxa"/>
            <w:gridSpan w:val="2"/>
            <w:tcBorders/>
            <w:vAlign w:val="center"/>
          </w:tcPr>
          <w:p>
            <w:pPr>
              <w:pStyle w:val="Normal"/>
              <w:widowControl w:val="false"/>
              <w:suppressAutoHyphens w:val="true"/>
              <w:spacing w:before="60" w:after="60"/>
              <w:jc w:val="left"/>
              <w:rPr>
                <w:b/>
                <w:lang w:val="ru-RU"/>
              </w:rPr>
            </w:pPr>
            <w:r>
              <w:rPr>
                <w:rFonts w:eastAsia="Times New Roman" w:cs="Times New Roman"/>
                <w:b/>
                <w:kern w:val="0"/>
                <w:lang w:val="ru-RU" w:eastAsia="ru-RU" w:bidi="ar-SA"/>
              </w:rPr>
              <w:t xml:space="preserve">Общие требования к оказанию услуг </w:t>
            </w:r>
          </w:p>
        </w:tc>
        <w:tc>
          <w:tcPr>
            <w:tcW w:w="2691"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928"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743"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r>
      <w:tr>
        <w:trPr/>
        <w:tc>
          <w:tcPr>
            <w:tcW w:w="851" w:type="dxa"/>
            <w:tcBorders/>
            <w:vAlign w:val="center"/>
          </w:tcPr>
          <w:p>
            <w:pPr>
              <w:pStyle w:val="Normal"/>
              <w:widowControl w:val="false"/>
              <w:numPr>
                <w:ilvl w:val="2"/>
                <w:numId w:val="29"/>
              </w:numPr>
              <w:suppressAutoHyphens w:val="true"/>
              <w:spacing w:before="60" w:after="60"/>
              <w:ind w:left="1214" w:hanging="1199"/>
              <w:contextualSpacing/>
              <w:jc w:val="center"/>
              <w:rPr>
                <w:rFonts w:eastAsia="Calibri"/>
                <w:lang w:val="ru-RU"/>
              </w:rPr>
            </w:pPr>
            <w:r>
              <w:rPr>
                <w:rFonts w:eastAsia="Calibri" w:cs="Times New Roman"/>
                <w:kern w:val="0"/>
                <w:lang w:val="ru-RU" w:eastAsia="ru-RU" w:bidi="ar-SA"/>
              </w:rPr>
            </w:r>
          </w:p>
        </w:tc>
        <w:tc>
          <w:tcPr>
            <w:tcW w:w="2267"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t>Требование к соблюдению при выполнении работ норм и правил нормативно-технических документов</w:t>
            </w:r>
          </w:p>
        </w:tc>
        <w:tc>
          <w:tcPr>
            <w:tcW w:w="3404"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t>Требования обязательны для соблюдения операторами технического осмотра, а также лицами, претендующими на получение аттестата аккредитации оператора технического осмотра в соответствии со статьей 11 Федерального закона от 1 июля 2011 г. № 170-ФЗ «О техническом осмотре транспортных средств и о внесении изменений в отдельные законодательные акты Российской Федерации» (далее - Федеральный закон № 170-ФЗ).</w:t>
            </w:r>
          </w:p>
        </w:tc>
        <w:tc>
          <w:tcPr>
            <w:tcW w:w="2691"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t>Согласие с требованием</w:t>
            </w:r>
          </w:p>
        </w:tc>
        <w:tc>
          <w:tcPr>
            <w:tcW w:w="2928" w:type="dxa"/>
            <w:tcBorders/>
            <w:shd w:color="auto" w:fill="auto" w:val="clear"/>
          </w:tcPr>
          <w:p>
            <w:pPr>
              <w:pStyle w:val="Normal"/>
              <w:widowControl w:val="false"/>
              <w:numPr>
                <w:ilvl w:val="0"/>
                <w:numId w:val="0"/>
              </w:numPr>
              <w:suppressAutoHyphens w:val="true"/>
              <w:spacing w:before="0" w:after="60"/>
              <w:jc w:val="left"/>
              <w:outlineLvl w:val="2"/>
              <w:rPr>
                <w:b/>
                <w:lang w:val="ru-RU"/>
              </w:rPr>
            </w:pPr>
            <w:r>
              <w:rPr>
                <w:rFonts w:eastAsia="Times New Roman" w:cs="Times New Roman"/>
                <w:b/>
                <w:kern w:val="0"/>
                <w:lang w:val="ru-RU" w:eastAsia="ru-RU" w:bidi="ar-SA"/>
              </w:rPr>
            </w:r>
          </w:p>
        </w:tc>
        <w:tc>
          <w:tcPr>
            <w:tcW w:w="2743"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r>
          </w:p>
        </w:tc>
      </w:tr>
      <w:tr>
        <w:trPr/>
        <w:tc>
          <w:tcPr>
            <w:tcW w:w="851"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1.1.2.</w:t>
            </w:r>
          </w:p>
        </w:tc>
        <w:tc>
          <w:tcPr>
            <w:tcW w:w="2267"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t>Требования к составу, содержанию услуг.</w:t>
            </w:r>
          </w:p>
        </w:tc>
        <w:tc>
          <w:tcPr>
            <w:tcW w:w="3404"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t>Услуги по техническому осмотру ТС согласно Таблице №2 настоящих Технических требований должны быть оказаны в полном объёме.</w:t>
            </w:r>
          </w:p>
        </w:tc>
        <w:tc>
          <w:tcPr>
            <w:tcW w:w="2691"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t>Согласие с требованием</w:t>
            </w:r>
          </w:p>
        </w:tc>
        <w:tc>
          <w:tcPr>
            <w:tcW w:w="2928"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r>
          </w:p>
        </w:tc>
        <w:tc>
          <w:tcPr>
            <w:tcW w:w="2743"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r>
          </w:p>
        </w:tc>
      </w:tr>
      <w:tr>
        <w:trPr/>
        <w:tc>
          <w:tcPr>
            <w:tcW w:w="851" w:type="dxa"/>
            <w:tcBorders/>
            <w:vAlign w:val="center"/>
          </w:tcPr>
          <w:p>
            <w:pPr>
              <w:pStyle w:val="Normal"/>
              <w:widowControl w:val="false"/>
              <w:numPr>
                <w:ilvl w:val="1"/>
                <w:numId w:val="29"/>
              </w:numPr>
              <w:suppressAutoHyphens w:val="true"/>
              <w:spacing w:before="60" w:after="60"/>
              <w:ind w:left="-117" w:firstLine="142"/>
              <w:contextualSpacing/>
              <w:jc w:val="center"/>
              <w:rPr>
                <w:rFonts w:eastAsia="Calibri"/>
                <w:lang w:val="ru-RU"/>
              </w:rPr>
            </w:pPr>
            <w:r>
              <w:rPr>
                <w:rFonts w:eastAsia="Calibri" w:cs="Times New Roman"/>
                <w:kern w:val="0"/>
                <w:lang w:val="ru-RU" w:eastAsia="ru-RU" w:bidi="ar-SA"/>
              </w:rPr>
            </w:r>
          </w:p>
        </w:tc>
        <w:tc>
          <w:tcPr>
            <w:tcW w:w="5671" w:type="dxa"/>
            <w:gridSpan w:val="2"/>
            <w:tcBorders/>
            <w:shd w:color="auto" w:fill="auto" w:val="clear"/>
          </w:tcPr>
          <w:p>
            <w:pPr>
              <w:pStyle w:val="Normal"/>
              <w:widowControl w:val="false"/>
              <w:tabs>
                <w:tab w:val="clear" w:pos="709"/>
                <w:tab w:val="left" w:pos="426" w:leader="none"/>
              </w:tabs>
              <w:suppressAutoHyphens w:val="true"/>
              <w:spacing w:before="60" w:after="0"/>
              <w:jc w:val="both"/>
              <w:rPr>
                <w:b/>
                <w:lang w:val="ru-RU"/>
              </w:rPr>
            </w:pPr>
            <w:r>
              <w:rPr>
                <w:rFonts w:eastAsia="Times New Roman" w:cs="Times New Roman"/>
                <w:b/>
                <w:kern w:val="0"/>
                <w:lang w:val="ru-RU" w:eastAsia="ru-RU" w:bidi="ar-SA"/>
              </w:rPr>
              <w:t>Требования к способам оказания услуг</w:t>
            </w:r>
          </w:p>
        </w:tc>
        <w:tc>
          <w:tcPr>
            <w:tcW w:w="2691" w:type="dxa"/>
            <w:tcBorders/>
            <w:shd w:color="auto" w:fill="auto" w:val="clear"/>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928" w:type="dxa"/>
            <w:tcBorders/>
            <w:shd w:color="auto" w:fill="auto" w:val="clear"/>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743" w:type="dxa"/>
            <w:tcBorders/>
            <w:shd w:color="auto" w:fill="auto" w:val="clear"/>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r>
      <w:tr>
        <w:trPr/>
        <w:tc>
          <w:tcPr>
            <w:tcW w:w="851" w:type="dxa"/>
            <w:tcBorders/>
            <w:vAlign w:val="center"/>
          </w:tcPr>
          <w:p>
            <w:pPr>
              <w:pStyle w:val="Normal"/>
              <w:widowControl w:val="false"/>
              <w:numPr>
                <w:ilvl w:val="2"/>
                <w:numId w:val="29"/>
              </w:numPr>
              <w:suppressAutoHyphens w:val="true"/>
              <w:spacing w:before="60" w:after="60"/>
              <w:ind w:left="1214" w:hanging="1199"/>
              <w:contextualSpacing/>
              <w:jc w:val="center"/>
              <w:rPr>
                <w:rFonts w:eastAsia="Calibri"/>
                <w:lang w:val="ru-RU"/>
              </w:rPr>
            </w:pPr>
            <w:r>
              <w:rPr>
                <w:rFonts w:eastAsia="Calibri" w:cs="Times New Roman"/>
                <w:kern w:val="0"/>
                <w:lang w:val="ru-RU" w:eastAsia="ru-RU" w:bidi="ar-SA"/>
              </w:rPr>
            </w:r>
          </w:p>
        </w:tc>
        <w:tc>
          <w:tcPr>
            <w:tcW w:w="2267"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t>Требования к оборудованию и материалам, используемым при выполнении услуг</w:t>
            </w:r>
          </w:p>
        </w:tc>
        <w:tc>
          <w:tcPr>
            <w:tcW w:w="3404" w:type="dxa"/>
            <w:tcBorders/>
            <w:shd w:color="auto" w:fill="auto" w:val="clear"/>
          </w:tcPr>
          <w:p>
            <w:pPr>
              <w:pStyle w:val="Normal"/>
              <w:widowControl w:val="false"/>
              <w:tabs>
                <w:tab w:val="clear" w:pos="709"/>
                <w:tab w:val="left" w:pos="426" w:leader="none"/>
              </w:tabs>
              <w:suppressAutoHyphens w:val="true"/>
              <w:spacing w:before="60" w:after="0"/>
              <w:jc w:val="left"/>
              <w:rPr>
                <w:lang w:val="ru-RU"/>
              </w:rPr>
            </w:pPr>
            <w:r>
              <w:rPr>
                <w:rFonts w:eastAsia="Times New Roman" w:cs="Times New Roman"/>
                <w:kern w:val="0"/>
                <w:lang w:val="ru-RU" w:eastAsia="ru-RU" w:bidi="ar-SA"/>
              </w:rPr>
              <w:t>Оказание услуг по проведению технического осмотра ТС должны проводиться с использованием специализированного оборудования, инструментов и материалов, предназначенных для выполнения данных работ.</w:t>
            </w:r>
          </w:p>
        </w:tc>
        <w:tc>
          <w:tcPr>
            <w:tcW w:w="2691"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t>Согласие с требованием</w:t>
            </w:r>
          </w:p>
        </w:tc>
        <w:tc>
          <w:tcPr>
            <w:tcW w:w="2928"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r>
          </w:p>
        </w:tc>
        <w:tc>
          <w:tcPr>
            <w:tcW w:w="2743"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r>
          </w:p>
        </w:tc>
      </w:tr>
      <w:tr>
        <w:trPr/>
        <w:tc>
          <w:tcPr>
            <w:tcW w:w="851" w:type="dxa"/>
            <w:tcBorders/>
            <w:vAlign w:val="center"/>
          </w:tcPr>
          <w:p>
            <w:pPr>
              <w:pStyle w:val="Normal"/>
              <w:widowControl w:val="false"/>
              <w:numPr>
                <w:ilvl w:val="1"/>
                <w:numId w:val="29"/>
              </w:numPr>
              <w:suppressAutoHyphens w:val="true"/>
              <w:spacing w:before="60" w:after="60"/>
              <w:ind w:left="-117" w:firstLine="142"/>
              <w:contextualSpacing/>
              <w:jc w:val="center"/>
              <w:rPr>
                <w:rFonts w:eastAsia="Calibri"/>
                <w:lang w:val="ru-RU"/>
              </w:rPr>
            </w:pPr>
            <w:r>
              <w:rPr>
                <w:rFonts w:eastAsia="Calibri" w:cs="Times New Roman"/>
                <w:kern w:val="0"/>
                <w:lang w:val="ru-RU" w:eastAsia="ru-RU" w:bidi="ar-SA"/>
              </w:rPr>
            </w:r>
          </w:p>
        </w:tc>
        <w:tc>
          <w:tcPr>
            <w:tcW w:w="5671" w:type="dxa"/>
            <w:gridSpan w:val="2"/>
            <w:tcBorders/>
            <w:vAlign w:val="center"/>
          </w:tcPr>
          <w:p>
            <w:pPr>
              <w:pStyle w:val="Normal"/>
              <w:widowControl w:val="false"/>
              <w:suppressAutoHyphens w:val="true"/>
              <w:spacing w:before="60" w:after="0"/>
              <w:jc w:val="left"/>
              <w:rPr>
                <w:b/>
                <w:sz w:val="28"/>
                <w:szCs w:val="28"/>
                <w:lang w:val="ru-RU"/>
              </w:rPr>
            </w:pPr>
            <w:r>
              <w:rPr>
                <w:rFonts w:eastAsia="Times New Roman" w:cs="Times New Roman"/>
                <w:b/>
                <w:kern w:val="0"/>
                <w:lang w:val="ru-RU" w:eastAsia="ru-RU" w:bidi="ar-SA"/>
              </w:rPr>
              <w:t>Требования к процедурам оказания услуг</w:t>
            </w:r>
          </w:p>
        </w:tc>
        <w:tc>
          <w:tcPr>
            <w:tcW w:w="2691"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928"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743"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r>
      <w:tr>
        <w:trPr/>
        <w:tc>
          <w:tcPr>
            <w:tcW w:w="851" w:type="dxa"/>
            <w:tcBorders/>
            <w:vAlign w:val="center"/>
          </w:tcPr>
          <w:p>
            <w:pPr>
              <w:pStyle w:val="Normal"/>
              <w:widowControl w:val="false"/>
              <w:numPr>
                <w:ilvl w:val="2"/>
                <w:numId w:val="29"/>
              </w:numPr>
              <w:suppressAutoHyphens w:val="true"/>
              <w:spacing w:before="60" w:after="60"/>
              <w:ind w:left="1214" w:hanging="1199"/>
              <w:contextualSpacing/>
              <w:jc w:val="center"/>
              <w:rPr>
                <w:rFonts w:eastAsia="Calibri"/>
                <w:lang w:val="ru-RU"/>
              </w:rPr>
            </w:pPr>
            <w:r>
              <w:rPr>
                <w:rFonts w:eastAsia="Calibri" w:cs="Times New Roman"/>
                <w:kern w:val="0"/>
                <w:lang w:val="ru-RU" w:eastAsia="ru-RU" w:bidi="ar-SA"/>
              </w:rPr>
            </w:r>
          </w:p>
        </w:tc>
        <w:tc>
          <w:tcPr>
            <w:tcW w:w="5671" w:type="dxa"/>
            <w:gridSpan w:val="2"/>
            <w:tcBorders/>
          </w:tcPr>
          <w:p>
            <w:pPr>
              <w:pStyle w:val="Normal"/>
              <w:widowControl w:val="false"/>
              <w:tabs>
                <w:tab w:val="clear" w:pos="709"/>
                <w:tab w:val="left" w:pos="426" w:leader="none"/>
              </w:tabs>
              <w:suppressAutoHyphens w:val="true"/>
              <w:spacing w:before="60" w:after="0"/>
              <w:jc w:val="left"/>
              <w:rPr>
                <w:lang w:val="ru-RU"/>
              </w:rPr>
            </w:pPr>
            <w:r>
              <w:rPr>
                <w:rFonts w:eastAsia="Times New Roman" w:cs="Times New Roman"/>
                <w:kern w:val="0"/>
                <w:lang w:val="ru-RU" w:eastAsia="ru-RU" w:bidi="ar-SA"/>
              </w:rPr>
              <w:t>Исполнитель обязан оказать услуги с использованием собственных инструментов и оборудования на ремонтной базе Исполнителя.</w:t>
            </w:r>
          </w:p>
        </w:tc>
        <w:tc>
          <w:tcPr>
            <w:tcW w:w="2691" w:type="dxa"/>
            <w:tcBorders/>
          </w:tcPr>
          <w:p>
            <w:pPr>
              <w:pStyle w:val="Normal"/>
              <w:widowControl w:val="false"/>
              <w:suppressAutoHyphens w:val="true"/>
              <w:spacing w:before="0" w:after="0"/>
              <w:jc w:val="left"/>
              <w:rPr>
                <w:b/>
                <w:lang w:val="ru-RU"/>
              </w:rPr>
            </w:pPr>
            <w:r>
              <w:rPr>
                <w:rFonts w:eastAsia="Times New Roman" w:cs="Times New Roman"/>
                <w:kern w:val="0"/>
                <w:lang w:val="ru-RU" w:eastAsia="ru-RU" w:bidi="ar-SA"/>
              </w:rPr>
              <w:t>Согласие с требованием</w:t>
            </w:r>
          </w:p>
        </w:tc>
        <w:tc>
          <w:tcPr>
            <w:tcW w:w="2928" w:type="dxa"/>
            <w:tcBorders/>
          </w:tcPr>
          <w:p>
            <w:pPr>
              <w:pStyle w:val="Normal"/>
              <w:widowControl w:val="false"/>
              <w:numPr>
                <w:ilvl w:val="0"/>
                <w:numId w:val="0"/>
              </w:numPr>
              <w:suppressAutoHyphens w:val="true"/>
              <w:spacing w:before="0" w:after="60"/>
              <w:jc w:val="left"/>
              <w:outlineLvl w:val="2"/>
              <w:rPr>
                <w:lang w:val="ru-RU"/>
              </w:rPr>
            </w:pPr>
            <w:r>
              <w:rPr>
                <w:rFonts w:eastAsia="Times New Roman" w:cs="Times New Roman"/>
                <w:kern w:val="0"/>
                <w:lang w:val="ru-RU" w:eastAsia="ru-RU" w:bidi="ar-SA"/>
              </w:rPr>
            </w:r>
          </w:p>
        </w:tc>
        <w:tc>
          <w:tcPr>
            <w:tcW w:w="2743" w:type="dxa"/>
            <w:tcBorders/>
          </w:tcPr>
          <w:p>
            <w:pPr>
              <w:pStyle w:val="Normal"/>
              <w:widowControl w:val="false"/>
              <w:tabs>
                <w:tab w:val="clear" w:pos="709"/>
                <w:tab w:val="left" w:pos="426" w:leader="none"/>
              </w:tabs>
              <w:suppressAutoHyphens w:val="true"/>
              <w:spacing w:before="60" w:after="0"/>
              <w:jc w:val="left"/>
              <w:rPr>
                <w:b/>
                <w:lang w:val="ru-RU"/>
              </w:rPr>
            </w:pPr>
            <w:r>
              <w:rPr>
                <w:rFonts w:eastAsia="Times New Roman" w:cs="Times New Roman"/>
                <w:b/>
                <w:kern w:val="0"/>
                <w:lang w:val="ru-RU" w:eastAsia="ru-RU" w:bidi="ar-SA"/>
              </w:rPr>
            </w:r>
          </w:p>
        </w:tc>
      </w:tr>
      <w:tr>
        <w:trPr/>
        <w:tc>
          <w:tcPr>
            <w:tcW w:w="851" w:type="dxa"/>
            <w:tcBorders/>
            <w:vAlign w:val="center"/>
          </w:tcPr>
          <w:p>
            <w:pPr>
              <w:pStyle w:val="Normal"/>
              <w:widowControl w:val="false"/>
              <w:numPr>
                <w:ilvl w:val="1"/>
                <w:numId w:val="29"/>
              </w:numPr>
              <w:suppressAutoHyphens w:val="true"/>
              <w:spacing w:before="60" w:after="60"/>
              <w:ind w:left="-117" w:firstLine="142"/>
              <w:contextualSpacing/>
              <w:jc w:val="center"/>
              <w:rPr>
                <w:rFonts w:eastAsia="Calibri"/>
                <w:lang w:val="ru-RU"/>
              </w:rPr>
            </w:pPr>
            <w:r>
              <w:rPr>
                <w:rFonts w:eastAsia="Calibri" w:cs="Times New Roman"/>
                <w:kern w:val="0"/>
                <w:lang w:val="ru-RU" w:eastAsia="ru-RU" w:bidi="ar-SA"/>
              </w:rPr>
            </w:r>
          </w:p>
        </w:tc>
        <w:tc>
          <w:tcPr>
            <w:tcW w:w="5671" w:type="dxa"/>
            <w:gridSpan w:val="2"/>
            <w:tcBorders/>
            <w:vAlign w:val="center"/>
          </w:tcPr>
          <w:p>
            <w:pPr>
              <w:pStyle w:val="Normal"/>
              <w:widowControl w:val="false"/>
              <w:suppressAutoHyphens w:val="true"/>
              <w:spacing w:before="60" w:after="0"/>
              <w:jc w:val="left"/>
              <w:rPr>
                <w:b/>
                <w:lang w:val="ru-RU"/>
              </w:rPr>
            </w:pPr>
            <w:r>
              <w:rPr>
                <w:rFonts w:eastAsia="Times New Roman" w:cs="Times New Roman"/>
                <w:b/>
                <w:kern w:val="0"/>
                <w:lang w:val="ru-RU" w:eastAsia="ru-RU" w:bidi="ar-SA"/>
              </w:rPr>
              <w:t>Требования к применяемым при оказании услуг оборудованию и материалам</w:t>
            </w:r>
          </w:p>
        </w:tc>
        <w:tc>
          <w:tcPr>
            <w:tcW w:w="2691"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928"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743"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r>
      <w:tr>
        <w:trPr/>
        <w:tc>
          <w:tcPr>
            <w:tcW w:w="851" w:type="dxa"/>
            <w:tcBorders/>
            <w:vAlign w:val="center"/>
          </w:tcPr>
          <w:p>
            <w:pPr>
              <w:pStyle w:val="Normal"/>
              <w:widowControl w:val="false"/>
              <w:numPr>
                <w:ilvl w:val="2"/>
                <w:numId w:val="29"/>
              </w:numPr>
              <w:suppressAutoHyphens w:val="true"/>
              <w:spacing w:before="60" w:after="60"/>
              <w:ind w:left="1214" w:hanging="1199"/>
              <w:contextualSpacing/>
              <w:jc w:val="center"/>
              <w:rPr>
                <w:rFonts w:eastAsia="Calibri"/>
                <w:lang w:val="ru-RU"/>
              </w:rPr>
            </w:pPr>
            <w:r>
              <w:rPr>
                <w:rFonts w:eastAsia="Calibri" w:cs="Times New Roman"/>
                <w:kern w:val="0"/>
                <w:lang w:val="ru-RU" w:eastAsia="ru-RU" w:bidi="ar-SA"/>
              </w:rPr>
            </w:r>
          </w:p>
        </w:tc>
        <w:tc>
          <w:tcPr>
            <w:tcW w:w="2267" w:type="dxa"/>
            <w:tcBorders/>
          </w:tcPr>
          <w:p>
            <w:pPr>
              <w:pStyle w:val="Normal"/>
              <w:widowControl w:val="false"/>
              <w:tabs>
                <w:tab w:val="clear" w:pos="709"/>
                <w:tab w:val="left" w:pos="426" w:leader="none"/>
              </w:tabs>
              <w:suppressAutoHyphens w:val="true"/>
              <w:spacing w:before="60" w:after="0"/>
              <w:jc w:val="left"/>
              <w:rPr>
                <w:lang w:val="ru-RU"/>
              </w:rPr>
            </w:pPr>
            <w:r>
              <w:rPr>
                <w:rFonts w:eastAsia="Times New Roman" w:cs="Times New Roman"/>
                <w:kern w:val="0"/>
                <w:lang w:val="ru-RU" w:eastAsia="ru-RU" w:bidi="ar-SA"/>
              </w:rPr>
              <w:t>Требования к диагностическим линиям</w:t>
            </w:r>
          </w:p>
        </w:tc>
        <w:tc>
          <w:tcPr>
            <w:tcW w:w="3404"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Диагностическая линия должна быть укомплектована средствами технического диагностирования и гаражным оборудованием, необходимыми для проведения в полном объеме технического осмотра определенных категорий транспортных средств или видов городского наземного электрического транспорта в зависимости от массово-габаритных характеристик проверяемых транспортных средств.</w:t>
            </w:r>
          </w:p>
          <w:p>
            <w:pPr>
              <w:pStyle w:val="Normal"/>
              <w:widowControl w:val="false"/>
              <w:suppressAutoHyphens w:val="true"/>
              <w:spacing w:before="0" w:after="0"/>
              <w:jc w:val="left"/>
              <w:rPr>
                <w:lang w:val="ru-RU"/>
              </w:rPr>
            </w:pPr>
            <w:r>
              <w:rPr>
                <w:rFonts w:eastAsia="Times New Roman" w:cs="Times New Roman"/>
                <w:kern w:val="0"/>
                <w:lang w:val="ru-RU" w:eastAsia="ru-RU" w:bidi="ar-SA"/>
              </w:rPr>
              <w:t>Допускается укомплектование отдельных диагностических линий средствами технического диагностирования, необходимыми для проведения в полном объеме технического осмотра части категорий транспортных средств, включенных в область аккредитации пункта технического осмотра в случае применения двух и более диагностических линий.</w:t>
            </w:r>
          </w:p>
        </w:tc>
        <w:tc>
          <w:tcPr>
            <w:tcW w:w="2691"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Согласие с требованием</w:t>
            </w:r>
          </w:p>
        </w:tc>
        <w:tc>
          <w:tcPr>
            <w:tcW w:w="2928" w:type="dxa"/>
            <w:tcBorders/>
          </w:tcPr>
          <w:p>
            <w:pPr>
              <w:pStyle w:val="Normal"/>
              <w:widowControl w:val="false"/>
              <w:tabs>
                <w:tab w:val="clear" w:pos="709"/>
                <w:tab w:val="left" w:pos="426" w:leader="none"/>
              </w:tabs>
              <w:suppressAutoHyphens w:val="true"/>
              <w:spacing w:before="60" w:after="0"/>
              <w:jc w:val="left"/>
              <w:rPr>
                <w:lang w:val="ru-RU"/>
              </w:rPr>
            </w:pPr>
            <w:r>
              <w:rPr>
                <w:rFonts w:eastAsia="Times New Roman" w:cs="Times New Roman"/>
                <w:kern w:val="0"/>
                <w:lang w:val="ru-RU" w:eastAsia="ru-RU" w:bidi="ar-SA"/>
              </w:rPr>
            </w:r>
          </w:p>
        </w:tc>
        <w:tc>
          <w:tcPr>
            <w:tcW w:w="2743" w:type="dxa"/>
            <w:tcBorders/>
          </w:tcPr>
          <w:p>
            <w:pPr>
              <w:pStyle w:val="Normal"/>
              <w:widowControl w:val="false"/>
              <w:tabs>
                <w:tab w:val="clear" w:pos="709"/>
                <w:tab w:val="left" w:pos="426" w:leader="none"/>
              </w:tabs>
              <w:suppressAutoHyphens w:val="true"/>
              <w:spacing w:before="60" w:after="0"/>
              <w:jc w:val="left"/>
              <w:rPr>
                <w:b/>
                <w:lang w:val="ru-RU"/>
              </w:rPr>
            </w:pPr>
            <w:r>
              <w:rPr>
                <w:rFonts w:eastAsia="Times New Roman" w:cs="Times New Roman"/>
                <w:b/>
                <w:kern w:val="0"/>
                <w:lang w:val="ru-RU" w:eastAsia="ru-RU" w:bidi="ar-SA"/>
              </w:rPr>
            </w:r>
          </w:p>
        </w:tc>
      </w:tr>
      <w:tr>
        <w:trPr/>
        <w:tc>
          <w:tcPr>
            <w:tcW w:w="851" w:type="dxa"/>
            <w:tcBorders/>
            <w:vAlign w:val="center"/>
          </w:tcPr>
          <w:p>
            <w:pPr>
              <w:pStyle w:val="Normal"/>
              <w:widowControl w:val="false"/>
              <w:numPr>
                <w:ilvl w:val="1"/>
                <w:numId w:val="29"/>
              </w:numPr>
              <w:suppressAutoHyphens w:val="true"/>
              <w:spacing w:before="60" w:after="60"/>
              <w:ind w:left="-117" w:firstLine="142"/>
              <w:contextualSpacing/>
              <w:jc w:val="center"/>
              <w:rPr>
                <w:rFonts w:eastAsia="Calibri"/>
                <w:lang w:val="ru-RU"/>
              </w:rPr>
            </w:pPr>
            <w:r>
              <w:rPr>
                <w:rFonts w:eastAsia="Calibri" w:cs="Times New Roman"/>
                <w:kern w:val="0"/>
                <w:lang w:val="ru-RU" w:eastAsia="ru-RU" w:bidi="ar-SA"/>
              </w:rPr>
            </w:r>
          </w:p>
        </w:tc>
        <w:tc>
          <w:tcPr>
            <w:tcW w:w="5671" w:type="dxa"/>
            <w:gridSpan w:val="2"/>
            <w:tcBorders/>
          </w:tcPr>
          <w:p>
            <w:pPr>
              <w:pStyle w:val="Normal"/>
              <w:widowControl w:val="false"/>
              <w:suppressAutoHyphens w:val="true"/>
              <w:spacing w:before="0" w:after="0"/>
              <w:jc w:val="left"/>
              <w:rPr>
                <w:b/>
                <w:lang w:val="ru-RU"/>
              </w:rPr>
            </w:pPr>
            <w:r>
              <w:rPr>
                <w:rFonts w:eastAsia="Times New Roman" w:cs="Times New Roman"/>
                <w:b/>
                <w:kern w:val="0"/>
                <w:lang w:val="ru-RU" w:eastAsia="ru-RU" w:bidi="ar-SA"/>
              </w:rPr>
              <w:t>Требования к персоналу исполнителя</w:t>
            </w:r>
          </w:p>
        </w:tc>
        <w:tc>
          <w:tcPr>
            <w:tcW w:w="2691"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928"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743"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r>
      <w:tr>
        <w:trPr/>
        <w:tc>
          <w:tcPr>
            <w:tcW w:w="851" w:type="dxa"/>
            <w:tcBorders/>
            <w:vAlign w:val="center"/>
          </w:tcPr>
          <w:p>
            <w:pPr>
              <w:pStyle w:val="Normal"/>
              <w:widowControl w:val="false"/>
              <w:numPr>
                <w:ilvl w:val="2"/>
                <w:numId w:val="29"/>
              </w:numPr>
              <w:suppressAutoHyphens w:val="true"/>
              <w:spacing w:before="60" w:after="60"/>
              <w:ind w:left="1214" w:hanging="1199"/>
              <w:contextualSpacing/>
              <w:jc w:val="center"/>
              <w:rPr>
                <w:rFonts w:eastAsia="Calibri"/>
                <w:lang w:val="ru-RU"/>
              </w:rPr>
            </w:pPr>
            <w:r>
              <w:rPr>
                <w:rFonts w:eastAsia="Calibri" w:cs="Times New Roman"/>
                <w:kern w:val="0"/>
                <w:lang w:val="ru-RU" w:eastAsia="ru-RU" w:bidi="ar-SA"/>
              </w:rPr>
            </w:r>
          </w:p>
        </w:tc>
        <w:tc>
          <w:tcPr>
            <w:tcW w:w="5671" w:type="dxa"/>
            <w:gridSpan w:val="2"/>
            <w:tcBorders/>
          </w:tcPr>
          <w:p>
            <w:pPr>
              <w:pStyle w:val="Normal"/>
              <w:widowControl w:val="false"/>
              <w:tabs>
                <w:tab w:val="clear" w:pos="709"/>
                <w:tab w:val="left" w:pos="426" w:leader="none"/>
              </w:tabs>
              <w:suppressAutoHyphens w:val="true"/>
              <w:spacing w:before="60" w:after="0"/>
              <w:jc w:val="left"/>
              <w:rPr>
                <w:lang w:val="ru-RU"/>
              </w:rPr>
            </w:pPr>
            <w:r>
              <w:rPr>
                <w:rFonts w:eastAsia="Times New Roman" w:cs="Times New Roman"/>
                <w:kern w:val="0"/>
                <w:lang w:val="ru-RU" w:eastAsia="ru-RU" w:bidi="ar-SA"/>
              </w:rPr>
              <w:t>Специалисты, выполняющие работы, связанные с оказанием услуг по проведению технического осмотра ТС должны иметь соответствующую квалификацию и опыт работы.</w:t>
            </w:r>
          </w:p>
        </w:tc>
        <w:tc>
          <w:tcPr>
            <w:tcW w:w="2691" w:type="dxa"/>
            <w:tcBorders/>
          </w:tcPr>
          <w:p>
            <w:pPr>
              <w:pStyle w:val="Normal"/>
              <w:widowControl w:val="false"/>
              <w:suppressAutoHyphens w:val="true"/>
              <w:spacing w:before="0" w:after="0"/>
              <w:jc w:val="left"/>
              <w:rPr>
                <w:b/>
                <w:lang w:val="ru-RU"/>
              </w:rPr>
            </w:pPr>
            <w:r>
              <w:rPr>
                <w:rFonts w:eastAsia="Times New Roman" w:cs="Times New Roman"/>
                <w:kern w:val="0"/>
                <w:lang w:val="ru-RU" w:eastAsia="ru-RU" w:bidi="ar-SA"/>
              </w:rPr>
              <w:t>Согласие с требованием</w:t>
            </w:r>
          </w:p>
        </w:tc>
        <w:tc>
          <w:tcPr>
            <w:tcW w:w="2928" w:type="dxa"/>
            <w:tcBorders/>
          </w:tcPr>
          <w:p>
            <w:pPr>
              <w:pStyle w:val="Normal"/>
              <w:widowControl w:val="false"/>
              <w:tabs>
                <w:tab w:val="clear" w:pos="709"/>
                <w:tab w:val="left" w:pos="426" w:leader="none"/>
              </w:tabs>
              <w:suppressAutoHyphens w:val="true"/>
              <w:spacing w:before="60" w:after="0"/>
              <w:jc w:val="left"/>
              <w:rPr>
                <w:b/>
                <w:lang w:val="ru-RU"/>
              </w:rPr>
            </w:pPr>
            <w:r>
              <w:rPr>
                <w:rFonts w:eastAsia="Times New Roman" w:cs="Times New Roman"/>
                <w:b/>
                <w:kern w:val="0"/>
                <w:lang w:val="ru-RU" w:eastAsia="ru-RU" w:bidi="ar-SA"/>
              </w:rPr>
            </w:r>
          </w:p>
        </w:tc>
        <w:tc>
          <w:tcPr>
            <w:tcW w:w="2743" w:type="dxa"/>
            <w:tcBorders/>
          </w:tcPr>
          <w:p>
            <w:pPr>
              <w:pStyle w:val="Normal"/>
              <w:widowControl w:val="false"/>
              <w:tabs>
                <w:tab w:val="clear" w:pos="709"/>
                <w:tab w:val="left" w:pos="426" w:leader="none"/>
              </w:tabs>
              <w:suppressAutoHyphens w:val="true"/>
              <w:spacing w:before="60" w:after="0"/>
              <w:jc w:val="left"/>
              <w:rPr>
                <w:b/>
                <w:lang w:val="ru-RU"/>
              </w:rPr>
            </w:pPr>
            <w:r>
              <w:rPr>
                <w:rFonts w:eastAsia="Times New Roman" w:cs="Times New Roman"/>
                <w:b/>
                <w:kern w:val="0"/>
                <w:lang w:val="ru-RU" w:eastAsia="ru-RU" w:bidi="ar-SA"/>
              </w:rPr>
            </w:r>
          </w:p>
        </w:tc>
      </w:tr>
      <w:tr>
        <w:trPr/>
        <w:tc>
          <w:tcPr>
            <w:tcW w:w="851" w:type="dxa"/>
            <w:tcBorders/>
            <w:vAlign w:val="center"/>
          </w:tcPr>
          <w:p>
            <w:pPr>
              <w:pStyle w:val="Normal"/>
              <w:widowControl w:val="false"/>
              <w:numPr>
                <w:ilvl w:val="0"/>
                <w:numId w:val="29"/>
              </w:numPr>
              <w:suppressAutoHyphens w:val="true"/>
              <w:spacing w:before="60" w:after="60"/>
              <w:contextualSpacing/>
              <w:jc w:val="left"/>
              <w:rPr>
                <w:rFonts w:eastAsia="Calibri"/>
                <w:lang w:val="ru-RU"/>
              </w:rPr>
            </w:pPr>
            <w:r>
              <w:rPr>
                <w:rFonts w:eastAsia="Calibri" w:cs="Times New Roman"/>
                <w:kern w:val="0"/>
                <w:lang w:val="ru-RU" w:eastAsia="ru-RU" w:bidi="ar-SA"/>
              </w:rPr>
            </w:r>
          </w:p>
        </w:tc>
        <w:tc>
          <w:tcPr>
            <w:tcW w:w="5671" w:type="dxa"/>
            <w:gridSpan w:val="2"/>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t>Требования к результатам у</w:t>
            </w:r>
            <w:r>
              <w:rPr>
                <w:rFonts w:eastAsia="Times New Roman" w:cs="Times New Roman"/>
                <w:b/>
                <w:kern w:val="0"/>
                <w:lang w:val="ru-RU" w:eastAsia="ru-RU" w:bidi="ar-SA"/>
              </w:rPr>
              <w:t>слуг</w:t>
            </w:r>
          </w:p>
        </w:tc>
        <w:tc>
          <w:tcPr>
            <w:tcW w:w="2691"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928"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743"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r>
      <w:tr>
        <w:trPr/>
        <w:tc>
          <w:tcPr>
            <w:tcW w:w="851" w:type="dxa"/>
            <w:tcBorders/>
            <w:vAlign w:val="center"/>
          </w:tcPr>
          <w:p>
            <w:pPr>
              <w:pStyle w:val="Normal"/>
              <w:widowControl w:val="false"/>
              <w:numPr>
                <w:ilvl w:val="1"/>
                <w:numId w:val="29"/>
              </w:numPr>
              <w:suppressAutoHyphens w:val="true"/>
              <w:spacing w:before="60" w:after="60"/>
              <w:ind w:left="-117" w:firstLine="142"/>
              <w:contextualSpacing/>
              <w:jc w:val="center"/>
              <w:rPr>
                <w:rFonts w:eastAsia="Calibri"/>
                <w:lang w:val="ru-RU"/>
              </w:rPr>
            </w:pPr>
            <w:r>
              <w:rPr>
                <w:rFonts w:eastAsia="Calibri" w:cs="Times New Roman"/>
                <w:kern w:val="0"/>
                <w:lang w:val="ru-RU" w:eastAsia="ru-RU" w:bidi="ar-SA"/>
              </w:rPr>
            </w:r>
          </w:p>
        </w:tc>
        <w:tc>
          <w:tcPr>
            <w:tcW w:w="5671" w:type="dxa"/>
            <w:gridSpan w:val="2"/>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t>Общие требования к результатам услуг</w:t>
            </w:r>
          </w:p>
        </w:tc>
        <w:tc>
          <w:tcPr>
            <w:tcW w:w="2691"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928"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743"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r>
      <w:tr>
        <w:trPr/>
        <w:tc>
          <w:tcPr>
            <w:tcW w:w="851" w:type="dxa"/>
            <w:tcBorders/>
            <w:vAlign w:val="center"/>
          </w:tcPr>
          <w:p>
            <w:pPr>
              <w:pStyle w:val="Normal"/>
              <w:widowControl w:val="false"/>
              <w:numPr>
                <w:ilvl w:val="2"/>
                <w:numId w:val="29"/>
              </w:numPr>
              <w:suppressAutoHyphens w:val="true"/>
              <w:spacing w:before="60" w:after="60"/>
              <w:ind w:left="1214" w:hanging="1199"/>
              <w:contextualSpacing/>
              <w:jc w:val="center"/>
              <w:rPr>
                <w:rFonts w:eastAsia="Calibri"/>
                <w:lang w:val="ru-RU"/>
              </w:rPr>
            </w:pPr>
            <w:r>
              <w:rPr>
                <w:rFonts w:eastAsia="Calibri" w:cs="Times New Roman"/>
                <w:kern w:val="0"/>
                <w:lang w:val="ru-RU" w:eastAsia="ru-RU" w:bidi="ar-SA"/>
              </w:rPr>
            </w:r>
          </w:p>
        </w:tc>
        <w:tc>
          <w:tcPr>
            <w:tcW w:w="2267" w:type="dxa"/>
            <w:tcBorders/>
          </w:tcPr>
          <w:p>
            <w:pPr>
              <w:pStyle w:val="Normal"/>
              <w:widowControl w:val="false"/>
              <w:tabs>
                <w:tab w:val="clear" w:pos="709"/>
                <w:tab w:val="left" w:pos="426" w:leader="none"/>
              </w:tabs>
              <w:suppressAutoHyphens w:val="true"/>
              <w:spacing w:before="60" w:after="0"/>
              <w:jc w:val="left"/>
              <w:rPr>
                <w:lang w:val="ru-RU"/>
              </w:rPr>
            </w:pPr>
            <w:r>
              <w:rPr>
                <w:rFonts w:eastAsia="Times New Roman" w:cs="Times New Roman"/>
                <w:kern w:val="0"/>
                <w:lang w:val="ru-RU" w:eastAsia="ru-RU" w:bidi="ar-SA"/>
              </w:rPr>
              <w:t>Результат оказания услуг</w:t>
            </w:r>
          </w:p>
        </w:tc>
        <w:tc>
          <w:tcPr>
            <w:tcW w:w="3404"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Услуги по проведению технического осмотра ТС.</w:t>
            </w:r>
          </w:p>
        </w:tc>
        <w:tc>
          <w:tcPr>
            <w:tcW w:w="2691" w:type="dxa"/>
            <w:tcBorders/>
          </w:tcPr>
          <w:p>
            <w:pPr>
              <w:pStyle w:val="Normal"/>
              <w:widowControl w:val="false"/>
              <w:suppressAutoHyphens w:val="true"/>
              <w:spacing w:before="0" w:after="0"/>
              <w:jc w:val="left"/>
              <w:rPr>
                <w:b/>
                <w:lang w:val="ru-RU"/>
              </w:rPr>
            </w:pPr>
            <w:r>
              <w:rPr>
                <w:rFonts w:eastAsia="Times New Roman" w:cs="Times New Roman"/>
                <w:kern w:val="0"/>
                <w:lang w:val="ru-RU" w:eastAsia="ru-RU" w:bidi="ar-SA"/>
              </w:rPr>
              <w:t>Согласие с требованием</w:t>
            </w:r>
          </w:p>
        </w:tc>
        <w:tc>
          <w:tcPr>
            <w:tcW w:w="2928" w:type="dxa"/>
            <w:tcBorders/>
          </w:tcPr>
          <w:p>
            <w:pPr>
              <w:pStyle w:val="Normal"/>
              <w:widowControl w:val="false"/>
              <w:numPr>
                <w:ilvl w:val="0"/>
                <w:numId w:val="0"/>
              </w:numPr>
              <w:suppressAutoHyphens w:val="true"/>
              <w:spacing w:before="0" w:after="60"/>
              <w:jc w:val="left"/>
              <w:outlineLvl w:val="2"/>
              <w:rPr>
                <w:lang w:val="ru-RU"/>
              </w:rPr>
            </w:pPr>
            <w:r>
              <w:rPr>
                <w:rFonts w:eastAsia="Times New Roman" w:cs="Times New Roman"/>
                <w:kern w:val="0"/>
                <w:lang w:val="ru-RU" w:eastAsia="ru-RU" w:bidi="ar-SA"/>
              </w:rPr>
            </w:r>
          </w:p>
        </w:tc>
        <w:tc>
          <w:tcPr>
            <w:tcW w:w="2743" w:type="dxa"/>
            <w:tcBorders/>
          </w:tcPr>
          <w:p>
            <w:pPr>
              <w:pStyle w:val="Normal"/>
              <w:widowControl w:val="false"/>
              <w:tabs>
                <w:tab w:val="clear" w:pos="709"/>
                <w:tab w:val="left" w:pos="426" w:leader="none"/>
              </w:tabs>
              <w:suppressAutoHyphens w:val="true"/>
              <w:spacing w:before="60" w:after="0"/>
              <w:jc w:val="left"/>
              <w:rPr>
                <w:b/>
                <w:lang w:val="ru-RU"/>
              </w:rPr>
            </w:pPr>
            <w:r>
              <w:rPr>
                <w:rFonts w:eastAsia="Times New Roman" w:cs="Times New Roman"/>
                <w:b/>
                <w:kern w:val="0"/>
                <w:lang w:val="ru-RU" w:eastAsia="ru-RU" w:bidi="ar-SA"/>
              </w:rPr>
            </w:r>
          </w:p>
        </w:tc>
      </w:tr>
      <w:tr>
        <w:trPr/>
        <w:tc>
          <w:tcPr>
            <w:tcW w:w="851" w:type="dxa"/>
            <w:tcBorders/>
            <w:vAlign w:val="center"/>
          </w:tcPr>
          <w:p>
            <w:pPr>
              <w:pStyle w:val="Normal"/>
              <w:widowControl w:val="false"/>
              <w:numPr>
                <w:ilvl w:val="1"/>
                <w:numId w:val="29"/>
              </w:numPr>
              <w:suppressAutoHyphens w:val="true"/>
              <w:spacing w:before="60" w:after="60"/>
              <w:ind w:left="-117" w:firstLine="142"/>
              <w:contextualSpacing/>
              <w:jc w:val="center"/>
              <w:rPr>
                <w:rFonts w:eastAsia="Calibri"/>
                <w:lang w:val="ru-RU"/>
              </w:rPr>
            </w:pPr>
            <w:r>
              <w:rPr>
                <w:rFonts w:eastAsia="Calibri" w:cs="Times New Roman"/>
                <w:kern w:val="0"/>
                <w:lang w:val="ru-RU" w:eastAsia="ru-RU" w:bidi="ar-SA"/>
              </w:rPr>
            </w:r>
          </w:p>
        </w:tc>
        <w:tc>
          <w:tcPr>
            <w:tcW w:w="5671" w:type="dxa"/>
            <w:gridSpan w:val="2"/>
            <w:tcBorders/>
            <w:vAlign w:val="center"/>
          </w:tcPr>
          <w:p>
            <w:pPr>
              <w:pStyle w:val="Normal"/>
              <w:widowControl w:val="false"/>
              <w:suppressAutoHyphens w:val="true"/>
              <w:spacing w:before="60" w:after="0"/>
              <w:jc w:val="left"/>
              <w:rPr>
                <w:lang w:val="ru-RU"/>
              </w:rPr>
            </w:pPr>
            <w:r>
              <w:rPr>
                <w:rFonts w:eastAsia="Times New Roman" w:cs="Times New Roman"/>
                <w:b/>
                <w:kern w:val="0"/>
                <w:lang w:val="ru-RU" w:eastAsia="ru-RU" w:bidi="ar-SA"/>
              </w:rPr>
              <w:t>Требования к безопасности использования результата оказания услуг</w:t>
            </w:r>
          </w:p>
        </w:tc>
        <w:tc>
          <w:tcPr>
            <w:tcW w:w="2691"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928"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743"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r>
      <w:tr>
        <w:trPr/>
        <w:tc>
          <w:tcPr>
            <w:tcW w:w="851" w:type="dxa"/>
            <w:tcBorders/>
            <w:vAlign w:val="center"/>
          </w:tcPr>
          <w:p>
            <w:pPr>
              <w:pStyle w:val="Normal"/>
              <w:widowControl w:val="false"/>
              <w:numPr>
                <w:ilvl w:val="2"/>
                <w:numId w:val="29"/>
              </w:numPr>
              <w:suppressAutoHyphens w:val="true"/>
              <w:spacing w:before="60" w:after="60"/>
              <w:ind w:left="1214" w:hanging="1199"/>
              <w:contextualSpacing/>
              <w:jc w:val="center"/>
              <w:rPr>
                <w:rFonts w:eastAsia="Calibri"/>
                <w:lang w:val="ru-RU"/>
              </w:rPr>
            </w:pPr>
            <w:r>
              <w:rPr>
                <w:rFonts w:eastAsia="Calibri" w:cs="Times New Roman"/>
                <w:kern w:val="0"/>
                <w:lang w:val="ru-RU" w:eastAsia="ru-RU" w:bidi="ar-SA"/>
              </w:rPr>
            </w:r>
          </w:p>
        </w:tc>
        <w:tc>
          <w:tcPr>
            <w:tcW w:w="2267"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Требования к соответствию оказанных услуг обязательным, установленным законодательством</w:t>
            </w:r>
          </w:p>
        </w:tc>
        <w:tc>
          <w:tcPr>
            <w:tcW w:w="3404"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Услуги должны быть оказаны с соблюдением всех требований и стандартов, установленные Федеральным законом от 01.07.2011 N 170-ФЗ (ред. от 24.07.2023) "О техническом осмотре транспортных средств и о внесении изменений в отдельные законодательные акты Российской Федерации".</w:t>
            </w:r>
          </w:p>
        </w:tc>
        <w:tc>
          <w:tcPr>
            <w:tcW w:w="2691" w:type="dxa"/>
            <w:tcBorders/>
          </w:tcPr>
          <w:p>
            <w:pPr>
              <w:pStyle w:val="Normal"/>
              <w:widowControl w:val="false"/>
              <w:suppressAutoHyphens w:val="true"/>
              <w:spacing w:before="0" w:after="0"/>
              <w:jc w:val="left"/>
              <w:rPr>
                <w:b/>
                <w:bCs/>
                <w:lang w:val="ru-RU"/>
              </w:rPr>
            </w:pPr>
            <w:r>
              <w:rPr>
                <w:rFonts w:eastAsia="Times New Roman" w:cs="Times New Roman"/>
                <w:kern w:val="0"/>
                <w:lang w:val="ru-RU" w:eastAsia="ru-RU" w:bidi="ar-SA"/>
              </w:rPr>
              <w:t>Согласие с требованием</w:t>
            </w:r>
          </w:p>
        </w:tc>
        <w:tc>
          <w:tcPr>
            <w:tcW w:w="2928" w:type="dxa"/>
            <w:tcBorders/>
          </w:tcPr>
          <w:p>
            <w:pPr>
              <w:pStyle w:val="Normal"/>
              <w:widowControl w:val="false"/>
              <w:tabs>
                <w:tab w:val="clear" w:pos="709"/>
                <w:tab w:val="left" w:pos="426" w:leader="none"/>
              </w:tabs>
              <w:suppressAutoHyphens w:val="true"/>
              <w:spacing w:before="60" w:after="0"/>
              <w:jc w:val="left"/>
              <w:rPr>
                <w:b/>
                <w:bCs/>
                <w:lang w:val="ru-RU"/>
              </w:rPr>
            </w:pPr>
            <w:r>
              <w:rPr>
                <w:rFonts w:eastAsia="Times New Roman" w:cs="Times New Roman"/>
                <w:b/>
                <w:bCs/>
                <w:kern w:val="0"/>
                <w:lang w:val="ru-RU" w:eastAsia="ru-RU" w:bidi="ar-SA"/>
              </w:rPr>
            </w:r>
          </w:p>
        </w:tc>
        <w:tc>
          <w:tcPr>
            <w:tcW w:w="2743" w:type="dxa"/>
            <w:tcBorders/>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r>
          </w:p>
        </w:tc>
      </w:tr>
      <w:tr>
        <w:trPr/>
        <w:tc>
          <w:tcPr>
            <w:tcW w:w="851" w:type="dxa"/>
            <w:tcBorders/>
            <w:vAlign w:val="center"/>
          </w:tcPr>
          <w:p>
            <w:pPr>
              <w:pStyle w:val="Normal"/>
              <w:widowControl w:val="false"/>
              <w:numPr>
                <w:ilvl w:val="1"/>
                <w:numId w:val="29"/>
              </w:numPr>
              <w:suppressAutoHyphens w:val="true"/>
              <w:spacing w:before="60" w:after="60"/>
              <w:ind w:left="-117" w:firstLine="142"/>
              <w:contextualSpacing/>
              <w:jc w:val="center"/>
              <w:rPr>
                <w:rFonts w:eastAsia="Calibri"/>
                <w:lang w:val="ru-RU"/>
              </w:rPr>
            </w:pPr>
            <w:r>
              <w:rPr>
                <w:rFonts w:eastAsia="Calibri" w:cs="Times New Roman"/>
                <w:kern w:val="0"/>
                <w:lang w:val="ru-RU" w:eastAsia="ru-RU" w:bidi="ar-SA"/>
              </w:rPr>
            </w:r>
          </w:p>
        </w:tc>
        <w:tc>
          <w:tcPr>
            <w:tcW w:w="5671" w:type="dxa"/>
            <w:gridSpan w:val="2"/>
            <w:tcBorders/>
            <w:vAlign w:val="center"/>
          </w:tcPr>
          <w:p>
            <w:pPr>
              <w:pStyle w:val="Normal"/>
              <w:widowControl w:val="false"/>
              <w:suppressAutoHyphens w:val="true"/>
              <w:spacing w:before="0" w:after="0"/>
              <w:jc w:val="left"/>
              <w:rPr>
                <w:bCs/>
                <w:lang w:val="ru-RU"/>
              </w:rPr>
            </w:pPr>
            <w:r>
              <w:rPr>
                <w:rFonts w:eastAsia="Times New Roman" w:cs="Times New Roman"/>
                <w:b/>
                <w:bCs/>
                <w:kern w:val="0"/>
                <w:lang w:val="ru-RU" w:eastAsia="ru-RU" w:bidi="ar-SA"/>
              </w:rPr>
              <w:t>Требования к приемке результата оказания у</w:t>
            </w:r>
            <w:r>
              <w:rPr>
                <w:rFonts w:eastAsia="Times New Roman" w:cs="Times New Roman"/>
                <w:b/>
                <w:kern w:val="0"/>
                <w:lang w:val="ru-RU" w:eastAsia="ru-RU" w:bidi="ar-SA"/>
              </w:rPr>
              <w:t>слуг</w:t>
            </w:r>
            <w:r>
              <w:rPr>
                <w:rFonts w:eastAsia="Times New Roman" w:cs="Times New Roman"/>
                <w:bCs/>
                <w:kern w:val="0"/>
                <w:lang w:val="ru-RU" w:eastAsia="ru-RU" w:bidi="ar-SA"/>
              </w:rPr>
              <w:t xml:space="preserve"> </w:t>
            </w:r>
          </w:p>
        </w:tc>
        <w:tc>
          <w:tcPr>
            <w:tcW w:w="2691"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928"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743"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r>
      <w:tr>
        <w:trPr/>
        <w:tc>
          <w:tcPr>
            <w:tcW w:w="851" w:type="dxa"/>
            <w:tcBorders/>
            <w:vAlign w:val="center"/>
          </w:tcPr>
          <w:p>
            <w:pPr>
              <w:pStyle w:val="Normal"/>
              <w:widowControl w:val="false"/>
              <w:numPr>
                <w:ilvl w:val="2"/>
                <w:numId w:val="29"/>
              </w:numPr>
              <w:suppressAutoHyphens w:val="true"/>
              <w:spacing w:before="60" w:after="60"/>
              <w:ind w:left="1214" w:hanging="1199"/>
              <w:contextualSpacing/>
              <w:jc w:val="center"/>
              <w:rPr>
                <w:rFonts w:eastAsia="Calibri"/>
                <w:lang w:val="ru-RU"/>
              </w:rPr>
            </w:pPr>
            <w:r>
              <w:rPr>
                <w:rFonts w:eastAsia="Calibri" w:cs="Times New Roman"/>
                <w:kern w:val="0"/>
                <w:lang w:val="ru-RU" w:eastAsia="ru-RU" w:bidi="ar-SA"/>
              </w:rPr>
            </w:r>
          </w:p>
        </w:tc>
        <w:tc>
          <w:tcPr>
            <w:tcW w:w="5671" w:type="dxa"/>
            <w:gridSpan w:val="2"/>
            <w:tcBorders/>
          </w:tcPr>
          <w:p>
            <w:pPr>
              <w:pStyle w:val="Normal"/>
              <w:widowControl w:val="false"/>
              <w:tabs>
                <w:tab w:val="clear" w:pos="709"/>
                <w:tab w:val="left" w:pos="426" w:leader="none"/>
              </w:tabs>
              <w:suppressAutoHyphens w:val="true"/>
              <w:spacing w:before="60" w:after="0"/>
              <w:jc w:val="left"/>
              <w:rPr>
                <w:lang w:val="ru-RU"/>
              </w:rPr>
            </w:pPr>
            <w:r>
              <w:rPr>
                <w:rFonts w:eastAsia="Times New Roman" w:cs="Times New Roman"/>
                <w:kern w:val="0"/>
                <w:lang w:val="ru-RU" w:eastAsia="ru-RU" w:bidi="ar-SA"/>
              </w:rPr>
              <w:t>Заказчик проверяет с участием Исполнителя объем и качество оказанных услуг и принимает оказанную услугу с оформлением акта приемки выполненных работ (Приложение №1 к Проекту Договора).</w:t>
            </w:r>
          </w:p>
        </w:tc>
        <w:tc>
          <w:tcPr>
            <w:tcW w:w="2691"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Согласие с требованием</w:t>
            </w:r>
          </w:p>
        </w:tc>
        <w:tc>
          <w:tcPr>
            <w:tcW w:w="2928" w:type="dxa"/>
            <w:tcBorders/>
          </w:tcPr>
          <w:p>
            <w:pPr>
              <w:pStyle w:val="Normal"/>
              <w:widowControl w:val="false"/>
              <w:tabs>
                <w:tab w:val="clear" w:pos="709"/>
                <w:tab w:val="left" w:pos="426" w:leader="none"/>
              </w:tabs>
              <w:suppressAutoHyphens w:val="true"/>
              <w:spacing w:before="60" w:after="0"/>
              <w:jc w:val="left"/>
              <w:rPr>
                <w:b/>
                <w:lang w:val="ru-RU"/>
              </w:rPr>
            </w:pPr>
            <w:r>
              <w:rPr>
                <w:rFonts w:eastAsia="Times New Roman" w:cs="Times New Roman"/>
                <w:b/>
                <w:kern w:val="0"/>
                <w:lang w:val="ru-RU" w:eastAsia="ru-RU" w:bidi="ar-SA"/>
              </w:rPr>
            </w:r>
          </w:p>
        </w:tc>
        <w:tc>
          <w:tcPr>
            <w:tcW w:w="2743" w:type="dxa"/>
            <w:tcBorders/>
          </w:tcPr>
          <w:p>
            <w:pPr>
              <w:pStyle w:val="Normal"/>
              <w:widowControl w:val="false"/>
              <w:tabs>
                <w:tab w:val="clear" w:pos="709"/>
                <w:tab w:val="left" w:pos="426" w:leader="none"/>
              </w:tabs>
              <w:suppressAutoHyphens w:val="true"/>
              <w:spacing w:before="60" w:after="0"/>
              <w:jc w:val="left"/>
              <w:rPr>
                <w:b/>
                <w:lang w:val="ru-RU"/>
              </w:rPr>
            </w:pPr>
            <w:r>
              <w:rPr>
                <w:rFonts w:eastAsia="Times New Roman" w:cs="Times New Roman"/>
                <w:b/>
                <w:kern w:val="0"/>
                <w:lang w:val="ru-RU" w:eastAsia="ru-RU" w:bidi="ar-SA"/>
              </w:rPr>
            </w:r>
          </w:p>
        </w:tc>
      </w:tr>
      <w:tr>
        <w:trPr/>
        <w:tc>
          <w:tcPr>
            <w:tcW w:w="851" w:type="dxa"/>
            <w:tcBorders/>
            <w:vAlign w:val="center"/>
          </w:tcPr>
          <w:p>
            <w:pPr>
              <w:pStyle w:val="Normal"/>
              <w:widowControl w:val="false"/>
              <w:numPr>
                <w:ilvl w:val="1"/>
                <w:numId w:val="29"/>
              </w:numPr>
              <w:suppressAutoHyphens w:val="true"/>
              <w:spacing w:before="60" w:after="60"/>
              <w:ind w:left="-117" w:firstLine="142"/>
              <w:contextualSpacing/>
              <w:jc w:val="center"/>
              <w:rPr>
                <w:rFonts w:eastAsia="Calibri"/>
                <w:lang w:val="ru-RU"/>
              </w:rPr>
            </w:pPr>
            <w:r>
              <w:rPr>
                <w:rFonts w:eastAsia="Calibri" w:cs="Times New Roman"/>
                <w:kern w:val="0"/>
                <w:lang w:val="ru-RU" w:eastAsia="ru-RU" w:bidi="ar-SA"/>
              </w:rPr>
            </w:r>
          </w:p>
        </w:tc>
        <w:tc>
          <w:tcPr>
            <w:tcW w:w="5671" w:type="dxa"/>
            <w:gridSpan w:val="2"/>
            <w:tcBorders/>
            <w:vAlign w:val="center"/>
          </w:tcPr>
          <w:p>
            <w:pPr>
              <w:pStyle w:val="Normal"/>
              <w:widowControl w:val="false"/>
              <w:suppressAutoHyphens w:val="true"/>
              <w:spacing w:before="60" w:after="0"/>
              <w:jc w:val="left"/>
              <w:rPr>
                <w:b/>
                <w:lang w:val="ru-RU"/>
              </w:rPr>
            </w:pPr>
            <w:r>
              <w:rPr>
                <w:rFonts w:eastAsia="Times New Roman" w:cs="Times New Roman"/>
                <w:b/>
                <w:kern w:val="0"/>
                <w:lang w:val="ru-RU" w:eastAsia="ru-RU" w:bidi="ar-SA"/>
              </w:rPr>
              <w:t>Требования к документации, описывающей результат оказания услуг</w:t>
            </w:r>
          </w:p>
        </w:tc>
        <w:tc>
          <w:tcPr>
            <w:tcW w:w="2691"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928"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743"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r>
      <w:tr>
        <w:trPr/>
        <w:tc>
          <w:tcPr>
            <w:tcW w:w="851" w:type="dxa"/>
            <w:tcBorders/>
            <w:vAlign w:val="center"/>
          </w:tcPr>
          <w:p>
            <w:pPr>
              <w:pStyle w:val="Normal"/>
              <w:widowControl w:val="false"/>
              <w:numPr>
                <w:ilvl w:val="2"/>
                <w:numId w:val="29"/>
              </w:numPr>
              <w:suppressAutoHyphens w:val="true"/>
              <w:spacing w:before="60" w:after="60"/>
              <w:ind w:left="1214" w:hanging="1199"/>
              <w:contextualSpacing/>
              <w:jc w:val="center"/>
              <w:rPr>
                <w:rFonts w:eastAsia="Calibri"/>
                <w:lang w:val="ru-RU"/>
              </w:rPr>
            </w:pPr>
            <w:r>
              <w:rPr>
                <w:rFonts w:eastAsia="Calibri" w:cs="Times New Roman"/>
                <w:kern w:val="0"/>
                <w:lang w:val="ru-RU" w:eastAsia="ru-RU" w:bidi="ar-SA"/>
              </w:rPr>
            </w:r>
          </w:p>
        </w:tc>
        <w:tc>
          <w:tcPr>
            <w:tcW w:w="2267"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Документы, передаваемые заказчику по результатам оказанных услуг</w:t>
            </w:r>
          </w:p>
        </w:tc>
        <w:tc>
          <w:tcPr>
            <w:tcW w:w="3404" w:type="dxa"/>
            <w:tcBorders/>
          </w:tcPr>
          <w:p>
            <w:pPr>
              <w:pStyle w:val="Normal"/>
              <w:widowControl w:val="false"/>
              <w:suppressAutoHyphens w:val="true"/>
              <w:spacing w:before="0" w:after="0"/>
              <w:jc w:val="left"/>
              <w:rPr>
                <w:lang w:val="ru-RU"/>
              </w:rPr>
            </w:pPr>
            <w:r>
              <w:rPr>
                <w:rFonts w:eastAsia="Times New Roman" w:cs="Times New Roman"/>
                <w:bCs/>
                <w:kern w:val="0"/>
                <w:lang w:val="ru-RU" w:eastAsia="ru-RU" w:bidi="ar-SA"/>
              </w:rPr>
              <w:t>По окончании оказания услуг/выполнения работ Исполнитель оформляет и направляет Заказчику акт приемки выполненных работ по согласованной форме с указанием фактического объема оказанных услуг/выполненных работ, диагностическую карту.</w:t>
            </w:r>
          </w:p>
        </w:tc>
        <w:tc>
          <w:tcPr>
            <w:tcW w:w="2691" w:type="dxa"/>
            <w:tcBorders/>
          </w:tcPr>
          <w:p>
            <w:pPr>
              <w:pStyle w:val="Normal"/>
              <w:widowControl w:val="false"/>
              <w:suppressAutoHyphens w:val="true"/>
              <w:spacing w:before="0" w:after="0"/>
              <w:jc w:val="left"/>
              <w:rPr>
                <w:b/>
                <w:bCs/>
                <w:lang w:val="ru-RU"/>
              </w:rPr>
            </w:pPr>
            <w:r>
              <w:rPr>
                <w:rFonts w:eastAsia="Times New Roman" w:cs="Times New Roman"/>
                <w:kern w:val="0"/>
                <w:lang w:val="ru-RU" w:eastAsia="ru-RU" w:bidi="ar-SA"/>
              </w:rPr>
              <w:t>Согласие с требованием</w:t>
            </w:r>
          </w:p>
        </w:tc>
        <w:tc>
          <w:tcPr>
            <w:tcW w:w="2928" w:type="dxa"/>
            <w:tcBorders/>
          </w:tcPr>
          <w:p>
            <w:pPr>
              <w:pStyle w:val="Normal"/>
              <w:widowControl w:val="false"/>
              <w:numPr>
                <w:ilvl w:val="0"/>
                <w:numId w:val="0"/>
              </w:numPr>
              <w:suppressAutoHyphens w:val="true"/>
              <w:spacing w:before="0" w:after="60"/>
              <w:jc w:val="left"/>
              <w:outlineLvl w:val="2"/>
              <w:rPr>
                <w:rFonts w:eastAsia="Calibri"/>
                <w:b/>
                <w:lang w:val="ru-RU" w:eastAsia="x-none"/>
              </w:rPr>
            </w:pPr>
            <w:r>
              <w:rPr>
                <w:rFonts w:eastAsia="Calibri" w:cs="Times New Roman"/>
                <w:b/>
                <w:kern w:val="0"/>
                <w:lang w:val="ru-RU" w:eastAsia="x-none" w:bidi="ar-SA"/>
              </w:rPr>
            </w:r>
          </w:p>
        </w:tc>
        <w:tc>
          <w:tcPr>
            <w:tcW w:w="2743" w:type="dxa"/>
            <w:tcBorders/>
          </w:tcPr>
          <w:p>
            <w:pPr>
              <w:pStyle w:val="Normal"/>
              <w:widowControl w:val="false"/>
              <w:numPr>
                <w:ilvl w:val="0"/>
                <w:numId w:val="0"/>
              </w:numPr>
              <w:suppressAutoHyphens w:val="true"/>
              <w:spacing w:before="0" w:after="60"/>
              <w:jc w:val="left"/>
              <w:outlineLvl w:val="2"/>
              <w:rPr>
                <w:b/>
                <w:sz w:val="20"/>
                <w:szCs w:val="20"/>
                <w:lang w:val="ru-RU"/>
              </w:rPr>
            </w:pPr>
            <w:r>
              <w:rPr>
                <w:rFonts w:eastAsia="Times New Roman" w:cs="Times New Roman"/>
                <w:b/>
                <w:kern w:val="0"/>
                <w:sz w:val="20"/>
                <w:szCs w:val="20"/>
                <w:lang w:val="ru-RU" w:eastAsia="ru-RU" w:bidi="ar-SA"/>
              </w:rPr>
            </w:r>
          </w:p>
        </w:tc>
      </w:tr>
      <w:tr>
        <w:trPr/>
        <w:tc>
          <w:tcPr>
            <w:tcW w:w="851" w:type="dxa"/>
            <w:tcBorders/>
            <w:vAlign w:val="center"/>
          </w:tcPr>
          <w:p>
            <w:pPr>
              <w:pStyle w:val="Normal"/>
              <w:widowControl w:val="false"/>
              <w:numPr>
                <w:ilvl w:val="0"/>
                <w:numId w:val="29"/>
              </w:numPr>
              <w:suppressAutoHyphens w:val="true"/>
              <w:spacing w:before="60" w:after="60"/>
              <w:contextualSpacing/>
              <w:jc w:val="center"/>
              <w:rPr>
                <w:rFonts w:eastAsia="Calibri"/>
                <w:lang w:val="ru-RU"/>
              </w:rPr>
            </w:pPr>
            <w:r>
              <w:rPr>
                <w:rFonts w:eastAsia="Calibri" w:cs="Times New Roman"/>
                <w:kern w:val="0"/>
                <w:lang w:val="ru-RU" w:eastAsia="ru-RU" w:bidi="ar-SA"/>
              </w:rPr>
            </w:r>
          </w:p>
        </w:tc>
        <w:tc>
          <w:tcPr>
            <w:tcW w:w="5671" w:type="dxa"/>
            <w:gridSpan w:val="2"/>
            <w:tcBorders/>
            <w:vAlign w:val="center"/>
          </w:tcPr>
          <w:p>
            <w:pPr>
              <w:pStyle w:val="Normal"/>
              <w:widowControl w:val="false"/>
              <w:suppressAutoHyphens w:val="true"/>
              <w:spacing w:before="20" w:after="0"/>
              <w:jc w:val="both"/>
              <w:rPr>
                <w:b/>
                <w:lang w:val="ru-RU"/>
              </w:rPr>
            </w:pPr>
            <w:r>
              <w:rPr>
                <w:rFonts w:eastAsia="Times New Roman" w:cs="Times New Roman"/>
                <w:b/>
                <w:kern w:val="0"/>
                <w:lang w:val="ru-RU" w:eastAsia="ru-RU" w:bidi="ar-SA"/>
              </w:rPr>
              <w:t>Требования к ответственности и гарантиям исполнителя</w:t>
            </w:r>
          </w:p>
        </w:tc>
        <w:tc>
          <w:tcPr>
            <w:tcW w:w="2691"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928"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743"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r>
      <w:tr>
        <w:trPr/>
        <w:tc>
          <w:tcPr>
            <w:tcW w:w="851" w:type="dxa"/>
            <w:tcBorders/>
            <w:vAlign w:val="center"/>
          </w:tcPr>
          <w:p>
            <w:pPr>
              <w:pStyle w:val="Normal"/>
              <w:widowControl w:val="false"/>
              <w:numPr>
                <w:ilvl w:val="2"/>
                <w:numId w:val="29"/>
              </w:numPr>
              <w:suppressAutoHyphens w:val="true"/>
              <w:spacing w:before="60" w:after="60"/>
              <w:ind w:left="1214" w:hanging="1199"/>
              <w:contextualSpacing/>
              <w:jc w:val="center"/>
              <w:rPr>
                <w:rFonts w:eastAsia="Calibri"/>
                <w:lang w:val="ru-RU"/>
              </w:rPr>
            </w:pPr>
            <w:r>
              <w:rPr>
                <w:rFonts w:eastAsia="Calibri" w:cs="Times New Roman"/>
                <w:kern w:val="0"/>
                <w:lang w:val="ru-RU" w:eastAsia="ru-RU" w:bidi="ar-SA"/>
              </w:rPr>
            </w:r>
          </w:p>
        </w:tc>
        <w:tc>
          <w:tcPr>
            <w:tcW w:w="5671" w:type="dxa"/>
            <w:gridSpan w:val="2"/>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Гарантийные обязательства представлены в п.5 Проекта Договора (Приложение №2 к Документации о закупке)</w:t>
            </w:r>
          </w:p>
        </w:tc>
        <w:tc>
          <w:tcPr>
            <w:tcW w:w="2691" w:type="dxa"/>
            <w:tcBorders/>
          </w:tcPr>
          <w:p>
            <w:pPr>
              <w:pStyle w:val="Normal"/>
              <w:widowControl w:val="false"/>
              <w:suppressAutoHyphens w:val="true"/>
              <w:spacing w:before="0" w:after="0"/>
              <w:jc w:val="left"/>
              <w:rPr>
                <w:b/>
                <w:bCs/>
                <w:lang w:val="ru-RU"/>
              </w:rPr>
            </w:pPr>
            <w:r>
              <w:rPr>
                <w:rFonts w:eastAsia="Times New Roman" w:cs="Times New Roman"/>
                <w:kern w:val="0"/>
                <w:lang w:val="ru-RU" w:eastAsia="ru-RU" w:bidi="ar-SA"/>
              </w:rPr>
              <w:t>Согласие с требованием</w:t>
            </w:r>
          </w:p>
        </w:tc>
        <w:tc>
          <w:tcPr>
            <w:tcW w:w="2928" w:type="dxa"/>
            <w:tcBorders/>
          </w:tcPr>
          <w:p>
            <w:pPr>
              <w:pStyle w:val="Normal"/>
              <w:widowControl w:val="false"/>
              <w:tabs>
                <w:tab w:val="clear" w:pos="709"/>
                <w:tab w:val="left" w:pos="426" w:leader="none"/>
              </w:tabs>
              <w:suppressAutoHyphens w:val="true"/>
              <w:spacing w:before="40" w:after="0"/>
              <w:jc w:val="left"/>
              <w:rPr>
                <w:b/>
                <w:bCs/>
                <w:lang w:val="ru-RU"/>
              </w:rPr>
            </w:pPr>
            <w:r>
              <w:rPr>
                <w:rFonts w:eastAsia="Times New Roman" w:cs="Times New Roman"/>
                <w:b/>
                <w:bCs/>
                <w:kern w:val="0"/>
                <w:lang w:val="ru-RU" w:eastAsia="ru-RU" w:bidi="ar-SA"/>
              </w:rPr>
            </w:r>
          </w:p>
        </w:tc>
        <w:tc>
          <w:tcPr>
            <w:tcW w:w="2743" w:type="dxa"/>
            <w:tcBorders/>
          </w:tcPr>
          <w:p>
            <w:pPr>
              <w:pStyle w:val="Normal"/>
              <w:widowControl w:val="false"/>
              <w:numPr>
                <w:ilvl w:val="0"/>
                <w:numId w:val="0"/>
              </w:numPr>
              <w:suppressAutoHyphens w:val="true"/>
              <w:spacing w:before="0" w:after="60"/>
              <w:jc w:val="left"/>
              <w:outlineLvl w:val="2"/>
              <w:rPr>
                <w:bCs/>
                <w:lang w:val="ru-RU"/>
              </w:rPr>
            </w:pPr>
            <w:r>
              <w:rPr>
                <w:rFonts w:eastAsia="Times New Roman" w:cs="Times New Roman"/>
                <w:bCs/>
                <w:kern w:val="0"/>
                <w:lang w:val="ru-RU" w:eastAsia="ru-RU" w:bidi="ar-SA"/>
              </w:rPr>
            </w:r>
          </w:p>
        </w:tc>
      </w:tr>
      <w:tr>
        <w:trPr/>
        <w:tc>
          <w:tcPr>
            <w:tcW w:w="851" w:type="dxa"/>
            <w:tcBorders/>
            <w:vAlign w:val="center"/>
          </w:tcPr>
          <w:p>
            <w:pPr>
              <w:pStyle w:val="Normal"/>
              <w:widowControl w:val="false"/>
              <w:numPr>
                <w:ilvl w:val="0"/>
                <w:numId w:val="29"/>
              </w:numPr>
              <w:suppressAutoHyphens w:val="true"/>
              <w:spacing w:before="60" w:after="60"/>
              <w:contextualSpacing/>
              <w:jc w:val="center"/>
              <w:rPr>
                <w:rFonts w:eastAsia="Calibri"/>
                <w:lang w:val="ru-RU"/>
              </w:rPr>
            </w:pPr>
            <w:r>
              <w:rPr>
                <w:rFonts w:eastAsia="Calibri" w:cs="Times New Roman"/>
                <w:kern w:val="0"/>
                <w:lang w:val="ru-RU" w:eastAsia="ru-RU" w:bidi="ar-SA"/>
              </w:rPr>
            </w:r>
          </w:p>
        </w:tc>
        <w:tc>
          <w:tcPr>
            <w:tcW w:w="5671" w:type="dxa"/>
            <w:gridSpan w:val="2"/>
            <w:tcBorders/>
            <w:vAlign w:val="center"/>
          </w:tcPr>
          <w:p>
            <w:pPr>
              <w:pStyle w:val="Normal"/>
              <w:keepNext w:val="true"/>
              <w:widowControl w:val="false"/>
              <w:suppressAutoHyphens w:val="true"/>
              <w:spacing w:before="60" w:after="60"/>
              <w:jc w:val="left"/>
              <w:rPr>
                <w:b/>
                <w:lang w:val="ru-RU"/>
              </w:rPr>
            </w:pPr>
            <w:r>
              <w:rPr>
                <w:rFonts w:eastAsia="Times New Roman" w:cs="Times New Roman"/>
                <w:b/>
                <w:kern w:val="0"/>
                <w:lang w:val="ru-RU" w:eastAsia="ru-RU" w:bidi="ar-SA"/>
              </w:rPr>
              <w:t>Требования к исполнителю (и соисполнителям) и его обязательствам, влияющим на исполнение договора</w:t>
            </w:r>
          </w:p>
        </w:tc>
        <w:tc>
          <w:tcPr>
            <w:tcW w:w="2691"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928"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c>
          <w:tcPr>
            <w:tcW w:w="2743" w:type="dxa"/>
            <w:tcBorders/>
          </w:tcPr>
          <w:p>
            <w:pPr>
              <w:pStyle w:val="Normal"/>
              <w:keepNext w:val="true"/>
              <w:widowControl w:val="false"/>
              <w:suppressAutoHyphens w:val="true"/>
              <w:spacing w:before="60" w:after="60"/>
              <w:jc w:val="center"/>
              <w:rPr>
                <w:b/>
                <w:lang w:val="ru-RU"/>
              </w:rPr>
            </w:pPr>
            <w:r>
              <w:rPr>
                <w:rFonts w:eastAsia="Times New Roman" w:cs="Times New Roman"/>
                <w:b/>
                <w:kern w:val="0"/>
                <w:lang w:val="ru-RU" w:eastAsia="ru-RU" w:bidi="ar-SA"/>
              </w:rPr>
              <w:t>-//-</w:t>
            </w:r>
          </w:p>
        </w:tc>
      </w:tr>
      <w:tr>
        <w:trPr/>
        <w:tc>
          <w:tcPr>
            <w:tcW w:w="851" w:type="dxa"/>
            <w:tcBorders/>
            <w:vAlign w:val="center"/>
          </w:tcPr>
          <w:p>
            <w:pPr>
              <w:pStyle w:val="Normal"/>
              <w:widowControl w:val="false"/>
              <w:numPr>
                <w:ilvl w:val="2"/>
                <w:numId w:val="29"/>
              </w:numPr>
              <w:suppressAutoHyphens w:val="true"/>
              <w:spacing w:before="60" w:after="60"/>
              <w:ind w:left="1214" w:hanging="1199"/>
              <w:contextualSpacing/>
              <w:jc w:val="center"/>
              <w:rPr>
                <w:rFonts w:eastAsia="Calibri"/>
                <w:lang w:val="ru-RU"/>
              </w:rPr>
            </w:pPr>
            <w:r>
              <w:rPr>
                <w:rFonts w:eastAsia="Calibri" w:cs="Times New Roman"/>
                <w:kern w:val="0"/>
                <w:lang w:val="ru-RU" w:eastAsia="ru-RU" w:bidi="ar-SA"/>
              </w:rPr>
            </w:r>
          </w:p>
        </w:tc>
        <w:tc>
          <w:tcPr>
            <w:tcW w:w="2267"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Требования к соисполнителям, привлекаемым к оказанию услуг</w:t>
            </w:r>
          </w:p>
        </w:tc>
        <w:tc>
          <w:tcPr>
            <w:tcW w:w="3404"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В случае привлечения к оказанию услуг соисполнителей, Исполнитель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оказания ими услуг.</w:t>
            </w:r>
          </w:p>
        </w:tc>
        <w:tc>
          <w:tcPr>
            <w:tcW w:w="2691"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Согласие с требованием</w:t>
            </w:r>
          </w:p>
        </w:tc>
        <w:tc>
          <w:tcPr>
            <w:tcW w:w="2928" w:type="dxa"/>
            <w:tcBorders/>
          </w:tcPr>
          <w:p>
            <w:pPr>
              <w:pStyle w:val="Normal"/>
              <w:widowControl w:val="false"/>
              <w:numPr>
                <w:ilvl w:val="0"/>
                <w:numId w:val="0"/>
              </w:numPr>
              <w:suppressAutoHyphens w:val="true"/>
              <w:spacing w:before="0" w:after="60"/>
              <w:jc w:val="left"/>
              <w:outlineLvl w:val="2"/>
              <w:rPr>
                <w:rFonts w:eastAsia="Calibri"/>
                <w:b/>
                <w:lang w:val="ru-RU" w:eastAsia="x-none"/>
              </w:rPr>
            </w:pPr>
            <w:r>
              <w:rPr>
                <w:rFonts w:eastAsia="Calibri" w:cs="Times New Roman"/>
                <w:b/>
                <w:kern w:val="0"/>
                <w:lang w:val="ru-RU" w:eastAsia="x-none" w:bidi="ar-SA"/>
              </w:rPr>
            </w:r>
          </w:p>
        </w:tc>
        <w:tc>
          <w:tcPr>
            <w:tcW w:w="2743" w:type="dxa"/>
            <w:tcBorders/>
          </w:tcPr>
          <w:p>
            <w:pPr>
              <w:pStyle w:val="Normal"/>
              <w:widowControl w:val="false"/>
              <w:numPr>
                <w:ilvl w:val="0"/>
                <w:numId w:val="0"/>
              </w:numPr>
              <w:suppressAutoHyphens w:val="true"/>
              <w:spacing w:before="0" w:after="60"/>
              <w:jc w:val="left"/>
              <w:outlineLvl w:val="2"/>
              <w:rPr>
                <w:b/>
                <w:sz w:val="20"/>
                <w:szCs w:val="20"/>
                <w:lang w:val="ru-RU"/>
              </w:rPr>
            </w:pPr>
            <w:r>
              <w:rPr>
                <w:rFonts w:eastAsia="Times New Roman" w:cs="Times New Roman"/>
                <w:b/>
                <w:kern w:val="0"/>
                <w:sz w:val="20"/>
                <w:szCs w:val="20"/>
                <w:lang w:val="ru-RU" w:eastAsia="ru-RU" w:bidi="ar-SA"/>
              </w:rPr>
            </w:r>
          </w:p>
        </w:tc>
      </w:tr>
    </w:tbl>
    <w:p>
      <w:pPr>
        <w:sectPr>
          <w:headerReference w:type="default" r:id="rId9"/>
          <w:headerReference w:type="first" r:id="rId10"/>
          <w:footnotePr>
            <w:numFmt w:val="decimal"/>
          </w:footnotePr>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Normal"/>
        <w:keepNext w:val="true"/>
        <w:keepLines/>
        <w:numPr>
          <w:ilvl w:val="0"/>
          <w:numId w:val="24"/>
        </w:numPr>
        <w:tabs>
          <w:tab w:val="clear" w:pos="709"/>
          <w:tab w:val="left" w:pos="0" w:leader="none"/>
        </w:tabs>
        <w:suppressAutoHyphens w:val="true"/>
        <w:spacing w:before="120" w:after="60"/>
        <w:ind w:left="357" w:hanging="357"/>
        <w:jc w:val="center"/>
        <w:outlineLvl w:val="0"/>
        <w:rPr>
          <w:rFonts w:eastAsia="Calibri"/>
          <w:b/>
          <w:sz w:val="28"/>
          <w:szCs w:val="28"/>
          <w:lang w:val="ru-RU" w:eastAsia="x-none"/>
        </w:rPr>
      </w:pPr>
      <w:bookmarkStart w:id="59" w:name="_Toc142558697"/>
      <w:bookmarkStart w:id="60" w:name="_Toc53393312"/>
      <w:bookmarkStart w:id="61" w:name="_Toc53395937"/>
      <w:r>
        <w:rPr>
          <w:rFonts w:eastAsia="Calibri"/>
          <w:b/>
          <w:sz w:val="28"/>
          <w:szCs w:val="28"/>
          <w:lang w:val="ru-RU" w:eastAsia="x-none"/>
        </w:rPr>
        <w:t>Требования к документации по ценообразованию</w:t>
      </w:r>
      <w:bookmarkEnd w:id="60"/>
      <w:bookmarkEnd w:id="61"/>
      <w:r>
        <w:rPr>
          <w:rFonts w:eastAsia="Calibri"/>
          <w:b/>
          <w:sz w:val="28"/>
          <w:szCs w:val="28"/>
          <w:lang w:val="ru-RU" w:eastAsia="x-none"/>
        </w:rPr>
        <w:t xml:space="preserve"> на этапе закупки</w:t>
      </w:r>
      <w:bookmarkEnd w:id="59"/>
    </w:p>
    <w:p>
      <w:pPr>
        <w:pStyle w:val="Normal"/>
        <w:keepNext w:val="true"/>
        <w:numPr>
          <w:ilvl w:val="1"/>
          <w:numId w:val="26"/>
        </w:numPr>
        <w:suppressAutoHyphens w:val="true"/>
        <w:spacing w:before="120" w:after="60"/>
        <w:outlineLvl w:val="3"/>
        <w:rPr>
          <w:rFonts w:eastAsia="Calibri"/>
          <w:bCs/>
          <w:lang w:val="ru-RU" w:eastAsia="x-none"/>
        </w:rPr>
      </w:pPr>
      <w:bookmarkStart w:id="62" w:name="_Toc135753787"/>
      <w:bookmarkStart w:id="63" w:name="_Toc142558185"/>
      <w:bookmarkStart w:id="64" w:name="_Toc142558698"/>
      <w:r>
        <w:rPr>
          <w:rFonts w:eastAsia="Calibri"/>
          <w:bCs/>
          <w:lang w:val="ru-RU" w:eastAsia="x-none"/>
        </w:rPr>
        <w:t>В обоснование стоимости своей заявки Исполнитель предоставляет Коммерческое предложение, а также приложение к нему «Перечень услуг с единичными расценками».</w:t>
      </w:r>
      <w:bookmarkEnd w:id="62"/>
      <w:bookmarkEnd w:id="63"/>
      <w:bookmarkEnd w:id="64"/>
    </w:p>
    <w:p>
      <w:pPr>
        <w:pStyle w:val="Normal"/>
        <w:keepNext w:val="true"/>
        <w:numPr>
          <w:ilvl w:val="1"/>
          <w:numId w:val="26"/>
        </w:numPr>
        <w:suppressAutoHyphens w:val="true"/>
        <w:spacing w:before="120" w:after="60"/>
        <w:outlineLvl w:val="3"/>
        <w:rPr>
          <w:rFonts w:eastAsia="Calibri"/>
          <w:bCs/>
          <w:lang w:val="ru-RU" w:eastAsia="x-none"/>
        </w:rPr>
      </w:pPr>
      <w:bookmarkStart w:id="65" w:name="_Toc135753788"/>
      <w:bookmarkStart w:id="66" w:name="_Toc142558186"/>
      <w:bookmarkStart w:id="67" w:name="_Toc142558699"/>
      <w:r>
        <w:rPr>
          <w:rFonts w:eastAsia="Calibri"/>
          <w:bCs/>
          <w:lang w:val="ru-RU" w:eastAsia="x-none"/>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 (Приложение №2 к Документации о закупке)</w:t>
      </w:r>
      <w:bookmarkEnd w:id="65"/>
      <w:bookmarkEnd w:id="66"/>
      <w:bookmarkEnd w:id="67"/>
    </w:p>
    <w:p>
      <w:pPr>
        <w:pStyle w:val="Normal"/>
        <w:keepNext w:val="true"/>
        <w:numPr>
          <w:ilvl w:val="1"/>
          <w:numId w:val="26"/>
        </w:numPr>
        <w:suppressAutoHyphens w:val="true"/>
        <w:spacing w:before="120" w:after="60"/>
        <w:outlineLvl w:val="3"/>
        <w:rPr>
          <w:rFonts w:eastAsia="Calibri"/>
          <w:bCs/>
          <w:lang w:val="x-none" w:eastAsia="x-none"/>
        </w:rPr>
      </w:pPr>
      <w:bookmarkStart w:id="68" w:name="_Toc135753789"/>
      <w:bookmarkStart w:id="69" w:name="_Toc142558187"/>
      <w:bookmarkStart w:id="70" w:name="_Toc142558700"/>
      <w:r>
        <w:rPr>
          <w:rFonts w:eastAsia="Calibri"/>
          <w:bCs/>
          <w:lang w:val="ru-RU" w:eastAsia="x-none"/>
        </w:rPr>
        <w:t>Дополнительные документы по ценообразованию (сметная документация) в состав заявки Участника не включаются.</w:t>
      </w:r>
      <w:bookmarkEnd w:id="68"/>
      <w:bookmarkEnd w:id="69"/>
      <w:bookmarkEnd w:id="70"/>
    </w:p>
    <w:p>
      <w:pPr>
        <w:pStyle w:val="Normal"/>
        <w:keepNext w:val="true"/>
        <w:keepLines/>
        <w:numPr>
          <w:ilvl w:val="0"/>
          <w:numId w:val="24"/>
        </w:numPr>
        <w:tabs>
          <w:tab w:val="clear" w:pos="709"/>
          <w:tab w:val="left" w:pos="0" w:leader="none"/>
        </w:tabs>
        <w:suppressAutoHyphens w:val="true"/>
        <w:spacing w:before="120" w:after="60"/>
        <w:ind w:left="357" w:hanging="357"/>
        <w:jc w:val="center"/>
        <w:outlineLvl w:val="0"/>
        <w:rPr>
          <w:rFonts w:eastAsia="Calibri"/>
          <w:b/>
          <w:sz w:val="28"/>
          <w:szCs w:val="28"/>
          <w:lang w:val="ru-RU" w:eastAsia="x-none"/>
        </w:rPr>
      </w:pPr>
      <w:bookmarkStart w:id="71" w:name="_Toc54281228"/>
      <w:bookmarkStart w:id="72" w:name="_Toc142558701"/>
      <w:r>
        <w:rPr>
          <w:rFonts w:eastAsia="Calibri"/>
          <w:b/>
          <w:sz w:val="28"/>
          <w:szCs w:val="28"/>
          <w:lang w:val="ru-RU" w:eastAsia="x-none"/>
        </w:rPr>
        <w:t>Требования к документации по ценообразованию на этапе заключения (исполнения) договора</w:t>
      </w:r>
      <w:bookmarkEnd w:id="71"/>
      <w:bookmarkEnd w:id="72"/>
    </w:p>
    <w:p>
      <w:pPr>
        <w:pStyle w:val="Normal"/>
        <w:keepNext w:val="true"/>
        <w:numPr>
          <w:ilvl w:val="1"/>
          <w:numId w:val="26"/>
        </w:numPr>
        <w:suppressAutoHyphens w:val="true"/>
        <w:spacing w:before="120" w:after="60"/>
        <w:outlineLvl w:val="3"/>
        <w:rPr>
          <w:rFonts w:eastAsia="Calibri"/>
          <w:bCs/>
          <w:lang w:val="ru-RU" w:eastAsia="x-none"/>
        </w:rPr>
      </w:pPr>
      <w:bookmarkStart w:id="73" w:name="_Toc135753791"/>
      <w:bookmarkStart w:id="74" w:name="_Toc142558189"/>
      <w:bookmarkStart w:id="75" w:name="_Toc142558702"/>
      <w:bookmarkStart w:id="76" w:name="_Toc46743519"/>
      <w:bookmarkStart w:id="77" w:name="_Toc51339699"/>
      <w:r>
        <w:rPr>
          <w:rFonts w:eastAsia="Calibri"/>
          <w:bCs/>
          <w:lang w:val="ru-RU" w:eastAsia="x-none"/>
        </w:rPr>
        <w:t>По результатам настоящей закупки заключается договор с предельной ценой, равной начальной (максимальной) цене договора, установленной в Документации о закупке, а также с единичными расценками, предложенными в заявке Победителя.</w:t>
      </w:r>
      <w:bookmarkEnd w:id="73"/>
      <w:bookmarkEnd w:id="74"/>
      <w:bookmarkEnd w:id="75"/>
      <w:bookmarkEnd w:id="76"/>
      <w:bookmarkEnd w:id="77"/>
    </w:p>
    <w:p>
      <w:pPr>
        <w:pStyle w:val="Normal"/>
        <w:suppressAutoHyphens w:val="true"/>
        <w:spacing w:before="0" w:after="120"/>
        <w:jc w:val="both"/>
        <w:rPr>
          <w:i/>
          <w:i/>
          <w:iCs/>
          <w:shd w:fill="FFFF99" w:val="clear"/>
          <w:lang w:val="ru-RU"/>
        </w:rPr>
      </w:pPr>
      <w:r>
        <w:rPr>
          <w:i/>
          <w:iCs/>
          <w:shd w:fill="FFFF99" w:val="clear"/>
          <w:lang w:val="ru-RU"/>
        </w:rPr>
      </w:r>
    </w:p>
    <w:p>
      <w:pPr>
        <w:pStyle w:val="Normal"/>
        <w:rPr>
          <w:lang w:val="ru-RU"/>
        </w:rPr>
      </w:pPr>
      <w:r>
        <w:rPr>
          <w:lang w:val="ru-RU"/>
        </w:rPr>
      </w:r>
      <w:bookmarkStart w:id="78" w:name="_GoBack"/>
      <w:bookmarkStart w:id="79" w:name="_GoBack"/>
      <w:bookmarkEnd w:id="79"/>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4"/>
        </w:numPr>
        <w:tabs>
          <w:tab w:val="clear" w:pos="709"/>
          <w:tab w:val="left" w:pos="1134" w:leader="none"/>
        </w:tabs>
        <w:ind w:left="0" w:firstLine="709"/>
        <w:rPr/>
      </w:pPr>
      <w:r>
        <w:rPr/>
        <w:t>Виды услуг:</w:t>
      </w:r>
    </w:p>
    <w:p>
      <w:pPr>
        <w:pStyle w:val="ListParagraph"/>
        <w:numPr>
          <w:ilvl w:val="0"/>
          <w:numId w:val="14"/>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4"/>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4"/>
        </w:numPr>
        <w:tabs>
          <w:tab w:val="clear" w:pos="709"/>
          <w:tab w:val="left" w:pos="1134" w:leader="none"/>
        </w:tabs>
        <w:ind w:left="0" w:firstLine="709"/>
        <w:rPr>
          <w:highlight w:val="lightGray"/>
        </w:rPr>
      </w:pPr>
      <w:r>
        <w:rPr>
          <w:highlight w:val="lightGray"/>
        </w:rPr>
        <w:t>Качество:</w:t>
      </w:r>
    </w:p>
    <w:p>
      <w:pPr>
        <w:pStyle w:val="ListParagraph"/>
        <w:numPr>
          <w:ilvl w:val="0"/>
          <w:numId w:val="14"/>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4"/>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11"/>
          <w:headerReference w:type="first" r:id="rId12"/>
          <w:footerReference w:type="default" r:id="rId13"/>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79"/>
        <w:gridCol w:w="825"/>
        <w:gridCol w:w="1219"/>
        <w:gridCol w:w="1456"/>
        <w:gridCol w:w="2473"/>
        <w:gridCol w:w="3056"/>
        <w:gridCol w:w="2912"/>
        <w:gridCol w:w="1019"/>
        <w:gridCol w:w="2179"/>
      </w:tblGrid>
      <w:tr>
        <w:trPr>
          <w:trHeight w:val="1327"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474"/>
        <w:gridCol w:w="1762"/>
        <w:gridCol w:w="1175"/>
        <w:gridCol w:w="1173"/>
        <w:gridCol w:w="1322"/>
        <w:gridCol w:w="2204"/>
        <w:gridCol w:w="1910"/>
        <w:gridCol w:w="1320"/>
        <w:gridCol w:w="3078"/>
      </w:tblGrid>
      <w:tr>
        <w:trPr>
          <w:trHeight w:val="1289" w:hRule="atLeast"/>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2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2"/>
              <w:t></w:t>
            </w:r>
          </w:p>
        </w:tc>
        <w:tc>
          <w:tcPr>
            <w:tcW w:w="19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3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2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9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3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2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9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537"/>
        <w:gridCol w:w="1849"/>
        <w:gridCol w:w="1232"/>
        <w:gridCol w:w="1229"/>
        <w:gridCol w:w="1386"/>
        <w:gridCol w:w="1231"/>
        <w:gridCol w:w="2003"/>
        <w:gridCol w:w="1077"/>
        <w:gridCol w:w="1231"/>
        <w:gridCol w:w="922"/>
        <w:gridCol w:w="769"/>
        <w:gridCol w:w="953"/>
      </w:tblGrid>
      <w:tr>
        <w:trPr>
          <w:trHeight w:val="566"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jc w:val="center"/>
        <w:rPr>
          <w:i/>
          <w:i/>
          <w:color w:val="FF0000"/>
          <w:lang w:val="ru-RU"/>
        </w:rPr>
      </w:pPr>
      <w:r>
        <w:rPr>
          <w:i/>
          <w:color w:val="FF0000"/>
          <w:lang w:val="ru-RU"/>
        </w:rPr>
      </w:r>
    </w:p>
    <w:p>
      <w:pPr>
        <w:pStyle w:val="Normal"/>
        <w:rPr>
          <w:i/>
          <w:i/>
          <w:color w:val="FF0000"/>
          <w:lang w:val="ru-RU"/>
        </w:rPr>
      </w:pPr>
      <w:r>
        <w:rPr/>
      </w:r>
    </w:p>
    <w:sectPr>
      <w:headerReference w:type="default" r:id="rId14"/>
      <w:headerReference w:type="first" r:id="rId15"/>
      <w:footerReference w:type="default" r:id="rId16"/>
      <w:footerReference w:type="first" r:id="rId17"/>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Calibri">
    <w:charset w:val="01"/>
    <w:family w:val="roman"/>
    <w:pitch w:val="variable"/>
  </w:font>
  <w:font w:name="Liberation Sans">
    <w:altName w:val="Arial"/>
    <w:charset w:val="01"/>
    <w:family w:val="swiss"/>
    <w:pitch w:val="variable"/>
  </w:font>
  <w:font w:name="Verdana">
    <w:charset w:val="01"/>
    <w:family w:val="roman"/>
    <w:pitch w:val="variable"/>
  </w:font>
  <w:font w:name="Consolas">
    <w:charset w:val="01"/>
    <w:family w:val="roman"/>
    <w:pitch w:val="variable"/>
  </w:font>
  <w:font w:name="Tahoma">
    <w:charset w:val="01"/>
    <w:family w:val="roman"/>
    <w:pitch w:val="variable"/>
  </w:font>
  <w:font w:name="Liberation Sans">
    <w:altName w:val="Arial"/>
    <w:charset w:val="01"/>
    <w:family w:val="roman"/>
    <w:pitch w:val="variable"/>
  </w:font>
  <w:font w:name="Arial Unicode MS">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50</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51</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
        </w:rPr>
        <w:footnoteRef/>
      </w:r>
      <w:r>
        <w:rPr>
          <w:highlight w:val="lightGray"/>
          <w:lang w:val="ru-RU"/>
        </w:rPr>
        <w:t xml:space="preserve"> </w:t>
      </w:r>
      <w:r>
        <w:rPr>
          <w:highlight w:val="lightGray"/>
          <w:lang w:val="ru-RU"/>
        </w:rPr>
        <w:t>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5">
    <w:p>
      <w:pPr>
        <w:pStyle w:val="FootnoteText"/>
        <w:jc w:val="both"/>
        <w:rPr>
          <w:lang w:val="ru-RU"/>
        </w:rPr>
      </w:pPr>
      <w:r>
        <w:rPr>
          <w:rStyle w:val="Style"/>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6">
    <w:p>
      <w:pPr>
        <w:pStyle w:val="FootnoteText"/>
        <w:jc w:val="both"/>
        <w:rPr>
          <w:lang w:val="ru-RU"/>
        </w:rPr>
      </w:pPr>
      <w:r>
        <w:rPr>
          <w:rStyle w:val="Style"/>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pPr>
        <w:pStyle w:val="FootnoteText"/>
        <w:rPr>
          <w:lang w:val="ru-RU"/>
        </w:rPr>
      </w:pPr>
      <w:r>
        <w:rPr>
          <w:rStyle w:val="Style"/>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8">
    <w:p>
      <w:pPr>
        <w:pStyle w:val="FootnoteText"/>
        <w:rPr>
          <w:lang w:val="ru-RU"/>
        </w:rPr>
      </w:pPr>
      <w:r>
        <w:rPr>
          <w:rStyle w:val="Style"/>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9">
    <w:p>
      <w:pPr>
        <w:pStyle w:val="FootnoteText"/>
        <w:rPr>
          <w:lang w:val="ru-RU"/>
        </w:rPr>
      </w:pPr>
      <w:r>
        <w:rPr>
          <w:rStyle w:val="Style"/>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jc w:val="both"/>
        <w:rPr>
          <w:lang w:val="ru-RU"/>
        </w:rPr>
      </w:pPr>
      <w:r>
        <w:rPr>
          <w:rStyle w:val="Style"/>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jc w:val="both"/>
        <w:rPr>
          <w:lang w:val="ru-RU"/>
        </w:rPr>
      </w:pPr>
      <w:r>
        <w:rPr>
          <w:rStyle w:val="Style"/>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Normal"/>
        <w:jc w:val="both"/>
        <w:rPr>
          <w:lang w:val="ru-RU"/>
        </w:rPr>
      </w:pPr>
      <w:r>
        <w:rPr>
          <w:rStyle w:val="Style"/>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714B7EDB">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714B7EDB">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40</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5">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8">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0">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5">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26">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val="false"/>
        <w:szCs w:val="24"/>
        <w:iCs/>
        <w:bCs/>
      </w:rPr>
    </w:lvl>
    <w:lvl w:ilvl="2">
      <w:start w:val="1"/>
      <w:numFmt w:val="decimal"/>
      <w:lvlText w:val="%1.%2.%3."/>
      <w:lvlJc w:val="left"/>
      <w:pPr>
        <w:tabs>
          <w:tab w:val="num" w:pos="0"/>
        </w:tabs>
        <w:ind w:left="1224" w:hanging="504"/>
      </w:pPr>
      <w:rPr>
        <w:b w:val="false"/>
      </w:rPr>
    </w:lvl>
    <w:lvl w:ilvl="3">
      <w:start w:val="1"/>
      <w:numFmt w:val="decimal"/>
      <w:lvlText w:val="%1.%2.%3.%4."/>
      <w:lvlJc w:val="left"/>
      <w:pPr>
        <w:tabs>
          <w:tab w:val="num" w:pos="0"/>
        </w:tabs>
        <w:ind w:left="0" w:firstLine="680"/>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7">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28">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9">
    <w:lvl w:ilvl="0">
      <w:start w:val="1"/>
      <w:numFmt w:val="decimal"/>
      <w:lvlText w:val="%1."/>
      <w:lvlJc w:val="left"/>
      <w:pPr>
        <w:tabs>
          <w:tab w:val="num" w:pos="0"/>
        </w:tabs>
        <w:ind w:left="502"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1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lsdException w:name="annotation text" w:qFormat="1"/>
    <w:lsdException w:name="header" w:uiPriority="99"/>
    <w:lsdException w:name="caption" w:semiHidden="1" w:unhideWhenUsed="1" w:qFormat="1"/>
    <w:lsdException w:name="annotation reference" w:qFormat="1"/>
    <w:lsdException w:name="page number" w:qFormat="1"/>
    <w:lsdException w:name="Title" w:qFormat="1"/>
    <w:lsdException w:name="Default Paragraph Font" w:uiPriority="1"/>
    <w:lsdException w:name="Subtitle" w:uiPriority="11"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uiPriority="22" w:qFormat="1"/>
    <w:lsdException w:name="Emphasis" w:uiPriority="20" w:qFormat="1"/>
    <w:lsdException w:name="E-mail Signature" w:uiPriority="99" w:qFormat="1"/>
    <w:lsdException w:name="Normal (Web)" w:uiPriority="99"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link w:val="1"/>
    <w:qFormat/>
    <w:rsid w:val="005f1e81"/>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unhideWhenUsed/>
    <w:qFormat/>
    <w:rsid w:val="00d132bf"/>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Heading5">
    <w:name w:val="Heading 5"/>
    <w:basedOn w:val="Normal"/>
    <w:next w:val="Normal"/>
    <w:link w:val="5"/>
    <w:uiPriority w:val="9"/>
    <w:qFormat/>
    <w:rsid w:val="00d132bf"/>
    <w:pPr>
      <w:suppressAutoHyphens w:val="true"/>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132bf"/>
    <w:pPr>
      <w:keepNext w:val="true"/>
      <w:keepLines/>
      <w:suppressAutoHyphens w:val="true"/>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132bf"/>
    <w:pPr>
      <w:keepNext w:val="true"/>
      <w:keepLines/>
      <w:suppressAutoHyphens w:val="true"/>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132bf"/>
    <w:pPr>
      <w:keepNext w:val="true"/>
      <w:keepLines/>
      <w:suppressAutoHyphens w:val="true"/>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d132bf"/>
    <w:pPr>
      <w:suppressAutoHyphens w:val="true"/>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132bf"/>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1" w:customStyle="1">
    <w:name w:val="Текст примечания Знак"/>
    <w:link w:val="Annotationtext"/>
    <w:qFormat/>
    <w:rsid w:val="00d932ad"/>
    <w:rPr>
      <w:lang w:val="en-GB"/>
    </w:rPr>
  </w:style>
  <w:style w:type="character" w:styleId="Style2"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3" w:customStyle="1">
    <w:name w:val="Основной текст Знак"/>
    <w:qFormat/>
    <w:rsid w:val="00a43fda"/>
    <w:rPr>
      <w:sz w:val="28"/>
      <w:szCs w:val="28"/>
    </w:rPr>
  </w:style>
  <w:style w:type="character" w:styleId="Style4" w:customStyle="1">
    <w:name w:val="Заголовок Знак"/>
    <w:qFormat/>
    <w:rsid w:val="00ed7e37"/>
    <w:rPr>
      <w:b/>
      <w:bCs/>
      <w:sz w:val="24"/>
      <w:szCs w:val="24"/>
    </w:rPr>
  </w:style>
  <w:style w:type="character" w:styleId="Style5" w:customStyle="1">
    <w:name w:val="Верхний колонтитул Знак"/>
    <w:uiPriority w:val="99"/>
    <w:qFormat/>
    <w:rsid w:val="004f3c0a"/>
    <w:rPr>
      <w:sz w:val="24"/>
      <w:szCs w:val="24"/>
      <w:lang w:val="en-GB"/>
    </w:rPr>
  </w:style>
  <w:style w:type="character" w:styleId="Style6"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7" w:customStyle="1">
    <w:name w:val="Основной текст с отступом Знак"/>
    <w:qFormat/>
    <w:rsid w:val="00d3016b"/>
    <w:rPr>
      <w:sz w:val="24"/>
      <w:szCs w:val="24"/>
    </w:rPr>
  </w:style>
  <w:style w:type="character" w:styleId="Strong">
    <w:name w:val="Strong"/>
    <w:uiPriority w:val="22"/>
    <w:qFormat/>
    <w:rsid w:val="004b7916"/>
    <w:rPr>
      <w:b/>
      <w:bCs/>
    </w:rPr>
  </w:style>
  <w:style w:type="character" w:styleId="Style8"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uiPriority w:val="99"/>
    <w:rsid w:val="0087657c"/>
    <w:rPr>
      <w:color w:val="800080"/>
      <w:u w:val="single"/>
    </w:rPr>
  </w:style>
  <w:style w:type="character" w:styleId="33" w:customStyle="1">
    <w:name w:val="3. Подпункт Знак"/>
    <w:link w:val="35"/>
    <w:qFormat/>
    <w:rsid w:val="00dd5d96"/>
    <w:rPr>
      <w:b/>
      <w:bCs/>
      <w:sz w:val="24"/>
      <w:szCs w:val="24"/>
      <w:lang w:val="x-none" w:eastAsia="x-none"/>
    </w:rPr>
  </w:style>
  <w:style w:type="character" w:styleId="Style9" w:customStyle="1">
    <w:name w:val="Абзац списка Знак"/>
    <w:link w:val="ListParagraph"/>
    <w:uiPriority w:val="34"/>
    <w:qFormat/>
    <w:locked/>
    <w:rsid w:val="00aa5e54"/>
    <w:rPr>
      <w:sz w:val="24"/>
      <w:szCs w:val="24"/>
    </w:rPr>
  </w:style>
  <w:style w:type="character" w:styleId="4" w:customStyle="1">
    <w:name w:val="Заголовок 4 Знак"/>
    <w:basedOn w:val="DefaultParagraphFont"/>
    <w:qFormat/>
    <w:rsid w:val="00d132bf"/>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5" w:customStyle="1">
    <w:name w:val="Заголовок 5 Знак"/>
    <w:basedOn w:val="DefaultParagraphFont"/>
    <w:uiPriority w:val="9"/>
    <w:qFormat/>
    <w:rsid w:val="00d132bf"/>
    <w:rPr>
      <w:b/>
      <w:bCs/>
      <w:i/>
      <w:iCs/>
      <w:sz w:val="26"/>
      <w:szCs w:val="26"/>
      <w:lang w:val="x-none" w:eastAsia="x-none"/>
    </w:rPr>
  </w:style>
  <w:style w:type="character" w:styleId="6" w:customStyle="1">
    <w:name w:val="Заголовок 6 Знак"/>
    <w:basedOn w:val="DefaultParagraphFont"/>
    <w:uiPriority w:val="9"/>
    <w:qFormat/>
    <w:rsid w:val="00d132bf"/>
    <w:rPr>
      <w:rFonts w:ascii="Cambria" w:hAnsi="Cambria"/>
      <w:i/>
      <w:iCs/>
      <w:color w:val="243F60"/>
      <w:lang w:val="x-none" w:eastAsia="x-none"/>
    </w:rPr>
  </w:style>
  <w:style w:type="character" w:styleId="7" w:customStyle="1">
    <w:name w:val="Заголовок 7 Знак"/>
    <w:basedOn w:val="DefaultParagraphFont"/>
    <w:uiPriority w:val="9"/>
    <w:qFormat/>
    <w:rsid w:val="00d132bf"/>
    <w:rPr>
      <w:rFonts w:ascii="Cambria" w:hAnsi="Cambria"/>
      <w:i/>
      <w:iCs/>
      <w:color w:val="404040"/>
      <w:lang w:val="x-none" w:eastAsia="x-none"/>
    </w:rPr>
  </w:style>
  <w:style w:type="character" w:styleId="8" w:customStyle="1">
    <w:name w:val="Заголовок 8 Знак"/>
    <w:basedOn w:val="DefaultParagraphFont"/>
    <w:uiPriority w:val="9"/>
    <w:qFormat/>
    <w:rsid w:val="00d132bf"/>
    <w:rPr>
      <w:rFonts w:ascii="Cambria" w:hAnsi="Cambria"/>
      <w:color w:val="4F81BD"/>
      <w:lang w:val="x-none" w:eastAsia="x-none"/>
    </w:rPr>
  </w:style>
  <w:style w:type="character" w:styleId="9" w:customStyle="1">
    <w:name w:val="Заголовок 9 Знак"/>
    <w:basedOn w:val="DefaultParagraphFont"/>
    <w:uiPriority w:val="9"/>
    <w:qFormat/>
    <w:rsid w:val="00d132bf"/>
    <w:rPr>
      <w:rFonts w:ascii="Arial" w:hAnsi="Arial"/>
      <w:sz w:val="22"/>
      <w:szCs w:val="22"/>
      <w:lang w:val="x-none" w:eastAsia="x-none"/>
    </w:rPr>
  </w:style>
  <w:style w:type="character" w:styleId="Pagenumber">
    <w:name w:val="page number"/>
    <w:basedOn w:val="DefaultParagraphFont"/>
    <w:qFormat/>
    <w:rsid w:val="00d132bf"/>
    <w:rPr/>
  </w:style>
  <w:style w:type="character" w:styleId="1" w:customStyle="1">
    <w:name w:val="Заголовок 1 Знак"/>
    <w:qFormat/>
    <w:rsid w:val="00d132bf"/>
    <w:rPr>
      <w:rFonts w:ascii="Arial" w:hAnsi="Arial" w:cs="Arial"/>
      <w:b/>
      <w:bCs/>
      <w:caps/>
      <w:kern w:val="2"/>
      <w:sz w:val="36"/>
      <w:szCs w:val="36"/>
    </w:rPr>
  </w:style>
  <w:style w:type="character" w:styleId="Style10" w:customStyle="1">
    <w:name w:val="Название Знак"/>
    <w:link w:val="111"/>
    <w:uiPriority w:val="10"/>
    <w:qFormat/>
    <w:rsid w:val="00d132bf"/>
    <w:rPr>
      <w:sz w:val="28"/>
    </w:rPr>
  </w:style>
  <w:style w:type="character" w:styleId="Style11" w:customStyle="1">
    <w:name w:val="Подзаголовок Знак"/>
    <w:uiPriority w:val="11"/>
    <w:qFormat/>
    <w:rsid w:val="00d132bf"/>
    <w:rPr>
      <w:rFonts w:ascii="Cambria" w:hAnsi="Cambria"/>
      <w:i/>
      <w:iCs/>
      <w:color w:val="4F81BD"/>
      <w:spacing w:val="15"/>
      <w:sz w:val="24"/>
      <w:szCs w:val="24"/>
      <w:lang w:val="x-none" w:eastAsia="x-none"/>
    </w:rPr>
  </w:style>
  <w:style w:type="character" w:styleId="Emphasis">
    <w:name w:val="Emphasis"/>
    <w:uiPriority w:val="20"/>
    <w:qFormat/>
    <w:rsid w:val="00d132bf"/>
    <w:rPr>
      <w:i/>
      <w:iCs/>
    </w:rPr>
  </w:style>
  <w:style w:type="character" w:styleId="21" w:customStyle="1">
    <w:name w:val="Цитата 2 Знак"/>
    <w:link w:val="Quote"/>
    <w:uiPriority w:val="29"/>
    <w:qFormat/>
    <w:rsid w:val="00d132bf"/>
    <w:rPr>
      <w:rFonts w:ascii="Calibri" w:hAnsi="Calibri" w:eastAsia="Calibri"/>
      <w:i/>
      <w:iCs/>
      <w:color w:val="000000"/>
      <w:lang w:val="x-none" w:eastAsia="x-none"/>
    </w:rPr>
  </w:style>
  <w:style w:type="character" w:styleId="Style12" w:customStyle="1">
    <w:name w:val="Выделенная цитата Знак"/>
    <w:link w:val="IntenseQuote"/>
    <w:uiPriority w:val="30"/>
    <w:qFormat/>
    <w:rsid w:val="00d132bf"/>
    <w:rPr>
      <w:rFonts w:ascii="Calibri" w:hAnsi="Calibri" w:eastAsia="Calibri"/>
      <w:b/>
      <w:bCs/>
      <w:i/>
      <w:iCs/>
      <w:color w:val="4F81BD"/>
      <w:lang w:val="x-none" w:eastAsia="x-none"/>
    </w:rPr>
  </w:style>
  <w:style w:type="character" w:styleId="SubtleEmphasis">
    <w:name w:val="Subtle Emphasis"/>
    <w:uiPriority w:val="19"/>
    <w:qFormat/>
    <w:rsid w:val="00d132bf"/>
    <w:rPr>
      <w:i/>
      <w:iCs/>
      <w:color w:val="808080"/>
    </w:rPr>
  </w:style>
  <w:style w:type="character" w:styleId="IntenseEmphasis">
    <w:name w:val="Intense Emphasis"/>
    <w:uiPriority w:val="21"/>
    <w:qFormat/>
    <w:rsid w:val="00d132bf"/>
    <w:rPr>
      <w:b/>
      <w:bCs/>
      <w:i/>
      <w:iCs/>
      <w:color w:val="4F81BD"/>
    </w:rPr>
  </w:style>
  <w:style w:type="character" w:styleId="SubtleReference">
    <w:name w:val="Subtle Reference"/>
    <w:uiPriority w:val="31"/>
    <w:qFormat/>
    <w:rsid w:val="00d132bf"/>
    <w:rPr>
      <w:smallCaps/>
      <w:color w:val="C0504D"/>
      <w:u w:val="single"/>
    </w:rPr>
  </w:style>
  <w:style w:type="character" w:styleId="IntenseReference">
    <w:name w:val="Intense Reference"/>
    <w:uiPriority w:val="32"/>
    <w:qFormat/>
    <w:rsid w:val="00d132bf"/>
    <w:rPr>
      <w:b/>
      <w:bCs/>
      <w:smallCaps/>
      <w:color w:val="C0504D"/>
      <w:spacing w:val="5"/>
      <w:u w:val="single"/>
    </w:rPr>
  </w:style>
  <w:style w:type="character" w:styleId="BookTitle">
    <w:name w:val="Book Title"/>
    <w:uiPriority w:val="33"/>
    <w:qFormat/>
    <w:rsid w:val="00d132bf"/>
    <w:rPr>
      <w:b/>
      <w:bCs/>
      <w:smallCaps/>
      <w:spacing w:val="5"/>
    </w:rPr>
  </w:style>
  <w:style w:type="character" w:styleId="Style13" w:customStyle="1">
    <w:name w:val="Электронная подпись Знак"/>
    <w:link w:val="E-mailSignature"/>
    <w:uiPriority w:val="99"/>
    <w:qFormat/>
    <w:rsid w:val="00d132bf"/>
    <w:rPr>
      <w:rFonts w:eastAsia="Calibri"/>
      <w:sz w:val="24"/>
      <w:szCs w:val="24"/>
    </w:rPr>
  </w:style>
  <w:style w:type="character" w:styleId="11" w:customStyle="1">
    <w:name w:val="Подпункт Знак1"/>
    <w:link w:val="Style23"/>
    <w:qFormat/>
    <w:locked/>
    <w:rsid w:val="00d132bf"/>
    <w:rPr>
      <w:sz w:val="28"/>
      <w:szCs w:val="24"/>
    </w:rPr>
  </w:style>
  <w:style w:type="character" w:styleId="Blk" w:customStyle="1">
    <w:name w:val="blk"/>
    <w:qFormat/>
    <w:rsid w:val="00d132bf"/>
    <w:rPr/>
  </w:style>
  <w:style w:type="character" w:styleId="Style14" w:customStyle="1">
    <w:name w:val="комментарий"/>
    <w:qFormat/>
    <w:rsid w:val="00d132bf"/>
    <w:rPr>
      <w:b/>
      <w:i/>
      <w:shd w:fill="FFFF99" w:val="clear"/>
    </w:rPr>
  </w:style>
  <w:style w:type="character" w:styleId="Style15" w:customStyle="1">
    <w:name w:val="Подподпункт Знак"/>
    <w:link w:val="Style24"/>
    <w:qFormat/>
    <w:locked/>
    <w:rsid w:val="00d132bf"/>
    <w:rPr>
      <w:sz w:val="28"/>
      <w:szCs w:val="24"/>
    </w:rPr>
  </w:style>
  <w:style w:type="character" w:styleId="34" w:customStyle="1">
    <w:name w:val="УРОВЕНЬ_Абзац_тип3 Знак"/>
    <w:link w:val="39"/>
    <w:qFormat/>
    <w:rsid w:val="00d132bf"/>
    <w:rPr>
      <w:rFonts w:eastAsia="Calibri"/>
      <w:sz w:val="26"/>
      <w:szCs w:val="28"/>
      <w:lang w:eastAsia="en-US"/>
    </w:rPr>
  </w:style>
  <w:style w:type="character" w:styleId="Style16" w:customStyle="1">
    <w:name w:val="Текст концевой сноски Знак"/>
    <w:basedOn w:val="DefaultParagraphFont"/>
    <w:qFormat/>
    <w:rsid w:val="00d132bf"/>
    <w:rPr/>
  </w:style>
  <w:style w:type="character" w:styleId="Style17">
    <w:name w:val="Символ концевой сноски"/>
    <w:qFormat/>
    <w:rsid w:val="00d132bf"/>
    <w:rPr>
      <w:vertAlign w:val="superscript"/>
    </w:rPr>
  </w:style>
  <w:style w:type="character" w:styleId="EndnoteReference">
    <w:name w:val="Endnote Reference"/>
    <w:rPr>
      <w:vertAlign w:val="superscript"/>
    </w:rPr>
  </w:style>
  <w:style w:type="character" w:styleId="22" w:customStyle="1">
    <w:name w:val="Пункт2 Знак"/>
    <w:link w:val="26"/>
    <w:qFormat/>
    <w:rsid w:val="00d132bf"/>
    <w:rPr>
      <w:b/>
      <w:sz w:val="28"/>
    </w:rPr>
  </w:style>
  <w:style w:type="character" w:styleId="12" w:customStyle="1">
    <w:name w:val="УРОВЕНЬ_1. Знак"/>
    <w:link w:val="115"/>
    <w:qFormat/>
    <w:rsid w:val="00d132bf"/>
    <w:rPr>
      <w:rFonts w:eastAsia="Calibri"/>
      <w:caps/>
      <w:sz w:val="28"/>
      <w:szCs w:val="28"/>
      <w:lang w:eastAsia="en-US"/>
    </w:rPr>
  </w:style>
  <w:style w:type="character" w:styleId="Style18" w:customStyle="1">
    <w:name w:val="Ссылка указателя"/>
    <w:qFormat/>
    <w:rsid w:val="00d132bf"/>
    <w:rPr/>
  </w:style>
  <w:style w:type="character" w:styleId="23" w:customStyle="1">
    <w:name w:val="Основной текст с отступом 2 Знак"/>
    <w:basedOn w:val="DefaultParagraphFont"/>
    <w:link w:val="BodyTextIndent2"/>
    <w:qFormat/>
    <w:rsid w:val="00d132bf"/>
    <w:rPr>
      <w:sz w:val="28"/>
      <w:szCs w:val="28"/>
    </w:rPr>
  </w:style>
  <w:style w:type="character" w:styleId="13" w:customStyle="1">
    <w:name w:val="Подзаголовок Знак1"/>
    <w:basedOn w:val="DefaultParagraphFont"/>
    <w:qFormat/>
    <w:rsid w:val="00d132bf"/>
    <w:rPr>
      <w:rFonts w:ascii="Calibri" w:hAnsi="Calibri" w:eastAsia="" w:cs="" w:asciiTheme="minorHAnsi" w:cstheme="minorBidi" w:eastAsiaTheme="minorEastAsia" w:hAnsiTheme="minorHAnsi"/>
      <w:color w:val="5A5A5A" w:themeColor="text1" w:themeTint="a5"/>
      <w:spacing w:val="15"/>
      <w:sz w:val="22"/>
      <w:szCs w:val="22"/>
      <w:lang w:val="en-GB"/>
    </w:rPr>
  </w:style>
  <w:style w:type="character" w:styleId="211" w:customStyle="1">
    <w:name w:val="Цитата 2 Знак1"/>
    <w:basedOn w:val="DefaultParagraphFont"/>
    <w:uiPriority w:val="29"/>
    <w:qFormat/>
    <w:rsid w:val="00d132bf"/>
    <w:rPr>
      <w:i/>
      <w:iCs/>
      <w:color w:val="404040" w:themeColor="text1" w:themeTint="bf"/>
      <w:sz w:val="24"/>
      <w:szCs w:val="24"/>
      <w:lang w:val="en-GB"/>
    </w:rPr>
  </w:style>
  <w:style w:type="character" w:styleId="14" w:customStyle="1">
    <w:name w:val="Выделенная цитата Знак1"/>
    <w:basedOn w:val="DefaultParagraphFont"/>
    <w:uiPriority w:val="30"/>
    <w:qFormat/>
    <w:rsid w:val="00d132bf"/>
    <w:rPr>
      <w:i/>
      <w:iCs/>
      <w:color w:val="5B9BD5" w:themeColor="accent1"/>
      <w:sz w:val="24"/>
      <w:szCs w:val="24"/>
      <w:lang w:val="en-GB"/>
    </w:rPr>
  </w:style>
  <w:style w:type="character" w:styleId="15" w:customStyle="1">
    <w:name w:val="Электронная подпись Знак1"/>
    <w:basedOn w:val="DefaultParagraphFont"/>
    <w:qFormat/>
    <w:rsid w:val="00d132bf"/>
    <w:rPr>
      <w:sz w:val="24"/>
      <w:szCs w:val="24"/>
      <w:lang w:val="en-GB"/>
    </w:rPr>
  </w:style>
  <w:style w:type="character" w:styleId="16" w:customStyle="1">
    <w:name w:val="Текст концевой сноски Знак1"/>
    <w:basedOn w:val="DefaultParagraphFont"/>
    <w:qFormat/>
    <w:rsid w:val="00d132bf"/>
    <w:rPr>
      <w:lang w:val="en-GB"/>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fc7f66"/>
    <w:pPr>
      <w:spacing w:lineRule="auto" w:line="360" w:before="0" w:after="120"/>
      <w:ind w:firstLine="567"/>
      <w:jc w:val="both"/>
    </w:pPr>
    <w:rPr>
      <w:sz w:val="28"/>
      <w:szCs w:val="28"/>
      <w:lang w:val="x-none" w:eastAsia="x-none"/>
    </w:rPr>
  </w:style>
  <w:style w:type="paragraph" w:styleId="List">
    <w:name w:val="List"/>
    <w:basedOn w:val="BodyText"/>
    <w:rsid w:val="00d132bf"/>
    <w:pPr>
      <w:suppressAutoHyphens w:val="true"/>
      <w:spacing w:lineRule="auto" w:line="240"/>
      <w:ind w:hanging="0"/>
      <w:jc w:val="left"/>
    </w:pPr>
    <w:rPr>
      <w:lang w:val="ru-RU" w:eastAsia="ru-RU"/>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17"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8" w:customStyle="1">
    <w:name w:val="Обычный1"/>
    <w:qFormat/>
    <w:rsid w:val="0083249b"/>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1"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2" w:customStyle="1">
    <w:name w:val="Пункт"/>
    <w:basedOn w:val="Normal"/>
    <w:qFormat/>
    <w:rsid w:val="005f1e81"/>
    <w:pPr>
      <w:numPr>
        <w:ilvl w:val="2"/>
        <w:numId w:val="1"/>
      </w:numPr>
      <w:jc w:val="both"/>
    </w:pPr>
    <w:rPr>
      <w:sz w:val="28"/>
      <w:lang w:val="ru-RU"/>
    </w:rPr>
  </w:style>
  <w:style w:type="paragraph" w:styleId="Style23" w:customStyle="1">
    <w:name w:val="Подпункт"/>
    <w:basedOn w:val="Style22"/>
    <w:link w:val="11"/>
    <w:qFormat/>
    <w:rsid w:val="005f1e81"/>
    <w:pPr>
      <w:numPr>
        <w:ilvl w:val="3"/>
      </w:numPr>
    </w:pPr>
    <w:rPr/>
  </w:style>
  <w:style w:type="paragraph" w:styleId="Style24" w:customStyle="1">
    <w:name w:val="Подподпункт"/>
    <w:basedOn w:val="Style23"/>
    <w:link w:val="Style15"/>
    <w:qFormat/>
    <w:rsid w:val="005f1e81"/>
    <w:pPr>
      <w:numPr>
        <w:ilvl w:val="4"/>
      </w:numPr>
    </w:pPr>
    <w:rPr/>
  </w:style>
  <w:style w:type="paragraph" w:styleId="Style25" w:customStyle="1">
    <w:name w:val="Пункт договора"/>
    <w:basedOn w:val="Normal"/>
    <w:qFormat/>
    <w:rsid w:val="005f1e81"/>
    <w:pPr>
      <w:widowControl w:val="false"/>
      <w:jc w:val="both"/>
    </w:pPr>
    <w:rPr>
      <w:rFonts w:ascii="Arial" w:hAnsi="Arial"/>
      <w:sz w:val="20"/>
      <w:szCs w:val="20"/>
      <w:lang w:val="ru-RU"/>
    </w:rPr>
  </w:style>
  <w:style w:type="paragraph" w:styleId="Style26"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8"/>
    <w:rsid w:val="006709ae"/>
    <w:pPr/>
    <w:rPr>
      <w:sz w:val="20"/>
      <w:szCs w:val="20"/>
      <w:lang w:eastAsia="x-none"/>
    </w:rPr>
  </w:style>
  <w:style w:type="paragraph" w:styleId="Style27" w:customStyle="1">
    <w:name w:val="Раздел договора"/>
    <w:basedOn w:val="Normal"/>
    <w:next w:val="Style25"/>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8"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9"/>
    <w:uiPriority w:val="34"/>
    <w:qFormat/>
    <w:rsid w:val="0031275f"/>
    <w:pPr>
      <w:spacing w:before="0" w:after="0"/>
      <w:ind w:left="720" w:hanging="0"/>
      <w:contextualSpacing/>
    </w:pPr>
    <w:rPr>
      <w:lang w:val="ru-RU"/>
    </w:rPr>
  </w:style>
  <w:style w:type="paragraph" w:styleId="Annotationtext">
    <w:name w:val="annotation text"/>
    <w:basedOn w:val="Normal"/>
    <w:link w:val="Style1"/>
    <w:qFormat/>
    <w:rsid w:val="00d932ad"/>
    <w:pPr/>
    <w:rPr>
      <w:sz w:val="20"/>
      <w:szCs w:val="20"/>
      <w:lang w:eastAsia="x-none"/>
    </w:rPr>
  </w:style>
  <w:style w:type="paragraph" w:styleId="Annotationsubject">
    <w:name w:val="annotation subject"/>
    <w:basedOn w:val="Annotationtext"/>
    <w:next w:val="Annotationtext"/>
    <w:link w:val="Style2"/>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Title" w:customStyle="1">
    <w:name w:val="Title"/>
    <w:basedOn w:val="Normal"/>
    <w:link w:val="Style4"/>
    <w:qFormat/>
    <w:rsid w:val="006375b6"/>
    <w:pPr>
      <w:widowControl w:val="false"/>
      <w:overflowPunct w:val="true"/>
      <w:spacing w:before="0" w:after="120"/>
      <w:jc w:val="center"/>
      <w:textAlignment w:val="baseline"/>
    </w:pPr>
    <w:rPr>
      <w:b/>
      <w:bCs/>
      <w:sz w:val="32"/>
      <w:szCs w:val="20"/>
      <w:lang w:val="ru-RU"/>
    </w:rPr>
  </w:style>
  <w:style w:type="paragraph" w:styleId="Style29" w:customStyle="1">
    <w:name w:val="Колонтитул"/>
    <w:basedOn w:val="Normal"/>
    <w:qFormat/>
    <w:rsid w:val="00d132bf"/>
    <w:pPr>
      <w:suppressAutoHyphens w:val="true"/>
    </w:pPr>
    <w:rPr>
      <w:sz w:val="28"/>
      <w:szCs w:val="28"/>
      <w:lang w:val="ru-RU"/>
    </w:rPr>
  </w:style>
  <w:style w:type="paragraph" w:styleId="Header">
    <w:name w:val="Header"/>
    <w:basedOn w:val="Normal"/>
    <w:link w:val="Style5"/>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6"/>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7"/>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9"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4"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5"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Index1">
    <w:name w:val="index 1"/>
    <w:basedOn w:val="Normal"/>
    <w:next w:val="Normal"/>
    <w:autoRedefine/>
    <w:qFormat/>
    <w:rsid w:val="00d132bf"/>
    <w:pPr>
      <w:ind w:left="240" w:hanging="240"/>
    </w:pPr>
    <w:rPr/>
  </w:style>
  <w:style w:type="paragraph" w:styleId="Indexheading1">
    <w:name w:val="index heading1"/>
    <w:basedOn w:val="Title"/>
    <w:qFormat/>
    <w:rsid w:val="00d132bf"/>
    <w:pPr>
      <w:keepNext w:val="true"/>
      <w:widowControl/>
      <w:suppressAutoHyphens w:val="true"/>
      <w:spacing w:before="240" w:after="120"/>
      <w:jc w:val="left"/>
    </w:pPr>
    <w:rPr>
      <w:rFonts w:ascii="Liberation Sans" w:hAnsi="Liberation Sans" w:eastAsia="Arial Unicode MS" w:cs="Arial Unicode MS"/>
      <w:b w:val="false"/>
      <w:bCs w:val="false"/>
      <w:sz w:val="28"/>
      <w:szCs w:val="28"/>
      <w:lang w:val="ru-RU" w:eastAsia="ru-RU"/>
    </w:rPr>
  </w:style>
  <w:style w:type="paragraph" w:styleId="Caption11" w:customStyle="1">
    <w:name w:val="caption11"/>
    <w:basedOn w:val="Normal"/>
    <w:qFormat/>
    <w:rsid w:val="00d132bf"/>
    <w:pPr>
      <w:suppressLineNumbers/>
      <w:suppressAutoHyphens w:val="true"/>
      <w:spacing w:before="120" w:after="120"/>
    </w:pPr>
    <w:rPr>
      <w:i/>
      <w:iCs/>
      <w:lang w:val="ru-RU"/>
    </w:rPr>
  </w:style>
  <w:style w:type="paragraph" w:styleId="Indexheading11" w:customStyle="1">
    <w:name w:val="index heading11"/>
    <w:basedOn w:val="Title"/>
    <w:qFormat/>
    <w:rsid w:val="00d132bf"/>
    <w:pPr>
      <w:keepNext w:val="true"/>
      <w:widowControl/>
      <w:suppressAutoHyphens w:val="true"/>
      <w:spacing w:before="240" w:after="120"/>
      <w:jc w:val="left"/>
    </w:pPr>
    <w:rPr>
      <w:rFonts w:ascii="Liberation Sans" w:hAnsi="Liberation Sans" w:eastAsia="Arial Unicode MS" w:cs="Arial Unicode MS"/>
      <w:b w:val="false"/>
      <w:bCs w:val="false"/>
      <w:sz w:val="28"/>
      <w:szCs w:val="28"/>
      <w:lang w:val="ru-RU" w:eastAsia="ru-RU"/>
    </w:rPr>
  </w:style>
  <w:style w:type="paragraph" w:styleId="Style30" w:customStyle="1">
    <w:name w:val="Название раздела инструкции"/>
    <w:basedOn w:val="Normal"/>
    <w:autoRedefine/>
    <w:qFormat/>
    <w:rsid w:val="00d132bf"/>
    <w:pPr>
      <w:suppressAutoHyphens w:val="true"/>
      <w:jc w:val="center"/>
    </w:pPr>
    <w:rPr>
      <w:b/>
      <w:sz w:val="28"/>
      <w:szCs w:val="28"/>
      <w:lang w:val="ru-RU"/>
    </w:rPr>
  </w:style>
  <w:style w:type="paragraph" w:styleId="Style31" w:customStyle="1">
    <w:name w:val="Раздел положения"/>
    <w:basedOn w:val="Normal"/>
    <w:autoRedefine/>
    <w:qFormat/>
    <w:rsid w:val="00d132bf"/>
    <w:pPr>
      <w:numPr>
        <w:ilvl w:val="0"/>
        <w:numId w:val="24"/>
      </w:numPr>
      <w:suppressAutoHyphens w:val="true"/>
      <w:spacing w:before="80" w:after="80"/>
      <w:jc w:val="center"/>
    </w:pPr>
    <w:rPr>
      <w:b/>
      <w:sz w:val="32"/>
      <w:szCs w:val="32"/>
      <w:lang w:val="ru-RU"/>
    </w:rPr>
  </w:style>
  <w:style w:type="paragraph" w:styleId="Style32" w:customStyle="1">
    <w:name w:val="Подраздел раздела положения"/>
    <w:basedOn w:val="Normal"/>
    <w:autoRedefine/>
    <w:qFormat/>
    <w:rsid w:val="00d132bf"/>
    <w:pPr>
      <w:numPr>
        <w:ilvl w:val="1"/>
        <w:numId w:val="24"/>
      </w:numPr>
      <w:suppressAutoHyphens w:val="true"/>
      <w:spacing w:before="80" w:after="80"/>
      <w:jc w:val="both"/>
    </w:pPr>
    <w:rPr>
      <w:sz w:val="28"/>
      <w:szCs w:val="28"/>
      <w:lang w:val="ru-RU"/>
    </w:rPr>
  </w:style>
  <w:style w:type="paragraph" w:styleId="110" w:customStyle="1">
    <w:name w:val="Шапка 1"/>
    <w:basedOn w:val="Normal"/>
    <w:qFormat/>
    <w:rsid w:val="00d132bf"/>
    <w:pPr>
      <w:pBdr>
        <w:bottom w:val="thickThinSmallGap" w:sz="24" w:space="1" w:color="000000"/>
      </w:pBdr>
      <w:suppressAutoHyphens w:val="true"/>
      <w:spacing w:before="0" w:after="240"/>
      <w:jc w:val="center"/>
    </w:pPr>
    <w:rPr>
      <w:sz w:val="22"/>
      <w:szCs w:val="22"/>
      <w:lang w:val="ru-RU"/>
    </w:rPr>
  </w:style>
  <w:style w:type="paragraph" w:styleId="25" w:customStyle="1">
    <w:name w:val="Шапка 2"/>
    <w:basedOn w:val="Normal"/>
    <w:qFormat/>
    <w:rsid w:val="00d132bf"/>
    <w:pPr>
      <w:pBdr>
        <w:bottom w:val="thickThinSmallGap" w:sz="24" w:space="1" w:color="000000"/>
      </w:pBdr>
      <w:suppressAutoHyphens w:val="true"/>
      <w:spacing w:before="0" w:after="120"/>
      <w:jc w:val="center"/>
    </w:pPr>
    <w:rPr>
      <w:b/>
      <w:sz w:val="22"/>
      <w:szCs w:val="22"/>
      <w:lang w:val="ru-RU"/>
    </w:rPr>
  </w:style>
  <w:style w:type="paragraph" w:styleId="36" w:customStyle="1">
    <w:name w:val="Шапка 3"/>
    <w:basedOn w:val="Normal"/>
    <w:qFormat/>
    <w:rsid w:val="00d132bf"/>
    <w:pPr>
      <w:pBdr>
        <w:bottom w:val="thickThinSmallGap" w:sz="24" w:space="1" w:color="000000"/>
      </w:pBdr>
      <w:suppressAutoHyphens w:val="true"/>
      <w:spacing w:before="240" w:after="360"/>
      <w:jc w:val="center"/>
    </w:pPr>
    <w:rPr>
      <w:b/>
      <w:lang w:val="ru-RU"/>
    </w:rPr>
  </w:style>
  <w:style w:type="paragraph" w:styleId="111" w:customStyle="1">
    <w:name w:val="Название1"/>
    <w:basedOn w:val="Normal"/>
    <w:link w:val="Style10"/>
    <w:uiPriority w:val="10"/>
    <w:qFormat/>
    <w:rsid w:val="00d132bf"/>
    <w:pPr>
      <w:suppressAutoHyphens w:val="true"/>
      <w:jc w:val="center"/>
    </w:pPr>
    <w:rPr>
      <w:sz w:val="28"/>
      <w:szCs w:val="20"/>
      <w:lang w:val="ru-RU"/>
    </w:rPr>
  </w:style>
  <w:style w:type="paragraph" w:styleId="BodyTextIndent2">
    <w:name w:val="Body Text Indent 2"/>
    <w:basedOn w:val="Normal"/>
    <w:link w:val="23"/>
    <w:qFormat/>
    <w:rsid w:val="00d132bf"/>
    <w:pPr>
      <w:suppressAutoHyphens w:val="true"/>
      <w:spacing w:lineRule="auto" w:line="480" w:before="0" w:after="120"/>
      <w:ind w:left="283" w:hanging="0"/>
    </w:pPr>
    <w:rPr>
      <w:sz w:val="28"/>
      <w:szCs w:val="28"/>
      <w:lang w:val="ru-RU"/>
    </w:rPr>
  </w:style>
  <w:style w:type="paragraph" w:styleId="BlockText">
    <w:name w:val="Block Text"/>
    <w:basedOn w:val="Normal"/>
    <w:qFormat/>
    <w:rsid w:val="00d132bf"/>
    <w:pPr>
      <w:suppressAutoHyphens w:val="true"/>
      <w:ind w:left="-567" w:right="-766" w:hanging="0"/>
      <w:jc w:val="center"/>
    </w:pPr>
    <w:rPr>
      <w:b/>
      <w:bCs/>
      <w:szCs w:val="20"/>
      <w:lang w:val="ru-RU"/>
    </w:rPr>
  </w:style>
  <w:style w:type="paragraph" w:styleId="26" w:customStyle="1">
    <w:name w:val="Пункт2"/>
    <w:basedOn w:val="Normal"/>
    <w:link w:val="22"/>
    <w:qFormat/>
    <w:rsid w:val="00d132bf"/>
    <w:pPr>
      <w:keepNext w:val="true"/>
      <w:tabs>
        <w:tab w:val="clear" w:pos="709"/>
        <w:tab w:val="left" w:pos="1134" w:leader="none"/>
      </w:tabs>
      <w:suppressAutoHyphens w:val="true"/>
      <w:snapToGrid w:val="false"/>
      <w:spacing w:before="240" w:after="120"/>
      <w:ind w:left="1134" w:hanging="1134"/>
      <w:outlineLvl w:val="2"/>
    </w:pPr>
    <w:rPr>
      <w:b/>
      <w:sz w:val="28"/>
      <w:szCs w:val="20"/>
      <w:lang w:val="ru-RU"/>
    </w:rPr>
  </w:style>
  <w:style w:type="paragraph" w:styleId="TOC1">
    <w:name w:val="TOC 1"/>
    <w:basedOn w:val="Normal"/>
    <w:next w:val="Normal"/>
    <w:autoRedefine/>
    <w:uiPriority w:val="39"/>
    <w:rsid w:val="00d132bf"/>
    <w:pPr>
      <w:suppressAutoHyphens w:val="true"/>
      <w:spacing w:before="120" w:after="0"/>
    </w:pPr>
    <w:rPr>
      <w:rFonts w:cs="Calibri Light (Заголовки)"/>
      <w:b/>
      <w:bCs/>
      <w:lang w:val="ru-RU"/>
    </w:rPr>
  </w:style>
  <w:style w:type="paragraph" w:styleId="311" w:customStyle="1">
    <w:name w:val="Оглавление 31"/>
    <w:basedOn w:val="Normal"/>
    <w:next w:val="Normal"/>
    <w:autoRedefine/>
    <w:uiPriority w:val="39"/>
    <w:qFormat/>
    <w:rsid w:val="00d132bf"/>
    <w:pPr>
      <w:suppressAutoHyphens w:val="true"/>
      <w:ind w:left="280" w:hanging="0"/>
    </w:pPr>
    <w:rPr>
      <w:rFonts w:cs="Calibri"/>
      <w:sz w:val="20"/>
      <w:szCs w:val="20"/>
      <w:lang w:val="ru-RU"/>
    </w:rPr>
  </w:style>
  <w:style w:type="paragraph" w:styleId="Style33" w:customStyle="1">
    <w:name w:val="Раздел регламента"/>
    <w:basedOn w:val="Normal"/>
    <w:qFormat/>
    <w:rsid w:val="00d132bf"/>
    <w:pPr>
      <w:suppressAutoHyphens w:val="true"/>
    </w:pPr>
    <w:rPr>
      <w:sz w:val="28"/>
      <w:szCs w:val="28"/>
      <w:lang w:val="ru-RU"/>
    </w:rPr>
  </w:style>
  <w:style w:type="paragraph" w:styleId="Style34" w:customStyle="1">
    <w:name w:val="Приложение к регламенту"/>
    <w:basedOn w:val="Normal"/>
    <w:qFormat/>
    <w:rsid w:val="00d132bf"/>
    <w:pPr>
      <w:suppressAutoHyphens w:val="true"/>
      <w:jc w:val="right"/>
    </w:pPr>
    <w:rPr>
      <w:sz w:val="28"/>
      <w:szCs w:val="28"/>
      <w:lang w:val="ru-RU"/>
    </w:rPr>
  </w:style>
  <w:style w:type="paragraph" w:styleId="212" w:customStyle="1">
    <w:name w:val="Оглавление 21"/>
    <w:basedOn w:val="Normal"/>
    <w:next w:val="Normal"/>
    <w:autoRedefine/>
    <w:uiPriority w:val="39"/>
    <w:qFormat/>
    <w:rsid w:val="00d132bf"/>
    <w:pPr>
      <w:suppressAutoHyphens w:val="true"/>
      <w:spacing w:before="240" w:after="0"/>
    </w:pPr>
    <w:rPr>
      <w:rFonts w:cs="Calibri"/>
      <w:bCs/>
      <w:sz w:val="20"/>
      <w:szCs w:val="20"/>
      <w:lang w:val="ru-RU"/>
    </w:rPr>
  </w:style>
  <w:style w:type="paragraph" w:styleId="112" w:customStyle="1">
    <w:name w:val="Обычный (веб)1"/>
    <w:basedOn w:val="Normal"/>
    <w:uiPriority w:val="99"/>
    <w:qFormat/>
    <w:rsid w:val="00d132bf"/>
    <w:pPr>
      <w:suppressAutoHyphens w:val="true"/>
      <w:spacing w:beforeAutospacing="1" w:afterAutospacing="1"/>
    </w:pPr>
    <w:rPr>
      <w:rFonts w:ascii="Arial Unicode MS" w:hAnsi="Arial Unicode MS" w:eastAsia="Arial Unicode MS" w:cs="Arial Unicode MS"/>
      <w:lang w:val="ru-RU"/>
    </w:rPr>
  </w:style>
  <w:style w:type="paragraph" w:styleId="91" w:customStyle="1">
    <w:name w:val="Оглавление 91"/>
    <w:basedOn w:val="Normal"/>
    <w:next w:val="Normal"/>
    <w:autoRedefine/>
    <w:semiHidden/>
    <w:qFormat/>
    <w:rsid w:val="00d132bf"/>
    <w:pPr>
      <w:suppressAutoHyphens w:val="true"/>
      <w:ind w:left="1960" w:hanging="0"/>
    </w:pPr>
    <w:rPr>
      <w:rFonts w:ascii="Calibri" w:hAnsi="Calibri" w:cs="Calibri"/>
      <w:sz w:val="20"/>
      <w:szCs w:val="20"/>
      <w:lang w:val="ru-RU"/>
    </w:rPr>
  </w:style>
  <w:style w:type="paragraph" w:styleId="51" w:customStyle="1">
    <w:name w:val="Оглавление 51"/>
    <w:basedOn w:val="Normal"/>
    <w:next w:val="Normal"/>
    <w:autoRedefine/>
    <w:semiHidden/>
    <w:qFormat/>
    <w:rsid w:val="00d132bf"/>
    <w:pPr>
      <w:suppressAutoHyphens w:val="true"/>
      <w:ind w:left="840" w:hanging="0"/>
    </w:pPr>
    <w:rPr>
      <w:rFonts w:ascii="Calibri" w:hAnsi="Calibri" w:cs="Calibri"/>
      <w:sz w:val="20"/>
      <w:szCs w:val="20"/>
      <w:lang w:val="ru-RU"/>
    </w:rPr>
  </w:style>
  <w:style w:type="paragraph" w:styleId="41" w:customStyle="1">
    <w:name w:val="Оглавление 41"/>
    <w:basedOn w:val="Normal"/>
    <w:next w:val="Normal"/>
    <w:autoRedefine/>
    <w:uiPriority w:val="39"/>
    <w:qFormat/>
    <w:rsid w:val="00d132bf"/>
    <w:pPr>
      <w:tabs>
        <w:tab w:val="clear" w:pos="709"/>
        <w:tab w:val="left" w:pos="1120" w:leader="none"/>
        <w:tab w:val="right" w:pos="9911" w:leader="none"/>
      </w:tabs>
      <w:suppressAutoHyphens w:val="true"/>
      <w:ind w:left="560" w:hanging="0"/>
    </w:pPr>
    <w:rPr>
      <w:rFonts w:cs="Calibri"/>
      <w:sz w:val="20"/>
      <w:szCs w:val="20"/>
      <w:lang w:val="ru-RU"/>
    </w:rPr>
  </w:style>
  <w:style w:type="paragraph" w:styleId="27" w:customStyle="1">
    <w:name w:val="Раздел положения 2"/>
    <w:basedOn w:val="Normal"/>
    <w:qFormat/>
    <w:rsid w:val="00d132bf"/>
    <w:pPr>
      <w:pageBreakBefore/>
      <w:suppressAutoHyphens w:val="true"/>
      <w:jc w:val="both"/>
      <w:outlineLvl w:val="0"/>
    </w:pPr>
    <w:rPr>
      <w:b/>
      <w:sz w:val="28"/>
      <w:szCs w:val="28"/>
      <w:lang w:val="ru-RU"/>
    </w:rPr>
  </w:style>
  <w:style w:type="paragraph" w:styleId="NoSpacing">
    <w:name w:val="No Spacing"/>
    <w:basedOn w:val="Normal"/>
    <w:uiPriority w:val="1"/>
    <w:qFormat/>
    <w:rsid w:val="00d132bf"/>
    <w:pPr>
      <w:suppressAutoHyphens w:val="true"/>
      <w:spacing w:lineRule="auto" w:line="360"/>
    </w:pPr>
    <w:rPr>
      <w:rFonts w:eastAsia="Calibri"/>
      <w:lang w:val="ru-RU"/>
    </w:rPr>
  </w:style>
  <w:style w:type="paragraph" w:styleId="Caption111" w:customStyle="1">
    <w:name w:val="caption111"/>
    <w:basedOn w:val="Normal"/>
    <w:next w:val="Normal"/>
    <w:uiPriority w:val="35"/>
    <w:qFormat/>
    <w:rsid w:val="00d132bf"/>
    <w:pPr>
      <w:suppressAutoHyphens w:val="true"/>
    </w:pPr>
    <w:rPr>
      <w:rFonts w:eastAsia="Calibri"/>
      <w:b/>
      <w:bCs/>
      <w:color w:val="4F81BD"/>
      <w:sz w:val="18"/>
      <w:szCs w:val="18"/>
      <w:lang w:val="ru-RU"/>
    </w:rPr>
  </w:style>
  <w:style w:type="paragraph" w:styleId="Subtitle">
    <w:name w:val="Subtitle"/>
    <w:basedOn w:val="Normal"/>
    <w:next w:val="Normal"/>
    <w:link w:val="Style11"/>
    <w:uiPriority w:val="11"/>
    <w:qFormat/>
    <w:rsid w:val="00d132bf"/>
    <w:pPr>
      <w:numPr>
        <w:ilvl w:val="1"/>
      </w:numPr>
      <w:suppressAutoHyphens w:val="true"/>
      <w:ind w:left="1066" w:firstLine="709"/>
    </w:pPr>
    <w:rPr>
      <w:rFonts w:ascii="Cambria" w:hAnsi="Cambria"/>
      <w:i/>
      <w:iCs/>
      <w:color w:val="4F81BD"/>
      <w:spacing w:val="15"/>
      <w:lang w:val="x-none" w:eastAsia="x-none"/>
    </w:rPr>
  </w:style>
  <w:style w:type="paragraph" w:styleId="Quote">
    <w:name w:val="Quote"/>
    <w:basedOn w:val="Normal"/>
    <w:next w:val="Normal"/>
    <w:link w:val="21"/>
    <w:uiPriority w:val="29"/>
    <w:qFormat/>
    <w:rsid w:val="00d132bf"/>
    <w:pPr>
      <w:suppressAutoHyphens w:val="true"/>
    </w:pPr>
    <w:rPr>
      <w:rFonts w:ascii="Calibri" w:hAnsi="Calibri" w:eastAsia="Calibri"/>
      <w:i/>
      <w:iCs/>
      <w:color w:val="000000"/>
      <w:sz w:val="20"/>
      <w:szCs w:val="20"/>
      <w:lang w:val="x-none" w:eastAsia="x-none"/>
    </w:rPr>
  </w:style>
  <w:style w:type="paragraph" w:styleId="IntenseQuote">
    <w:name w:val="Intense Quote"/>
    <w:basedOn w:val="Normal"/>
    <w:next w:val="Normal"/>
    <w:link w:val="Style12"/>
    <w:uiPriority w:val="30"/>
    <w:qFormat/>
    <w:rsid w:val="00d132bf"/>
    <w:pPr>
      <w:pBdr>
        <w:bottom w:val="single" w:sz="4" w:space="4" w:color="4F81BD"/>
      </w:pBdr>
      <w:suppressAutoHyphens w:val="true"/>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9"/>
    <w:pPr/>
    <w:rPr/>
  </w:style>
  <w:style w:type="paragraph" w:styleId="TOCHeading">
    <w:name w:val="TOC Heading"/>
    <w:basedOn w:val="Heading1"/>
    <w:next w:val="Normal"/>
    <w:uiPriority w:val="39"/>
    <w:qFormat/>
    <w:rsid w:val="00d132bf"/>
    <w:pPr>
      <w:pageBreakBefore w:val="false"/>
      <w:tabs>
        <w:tab w:val="clear" w:pos="709"/>
        <w:tab w:val="left" w:pos="0" w:leader="none"/>
      </w:tabs>
      <w:spacing w:before="480" w:after="60"/>
      <w:ind w:left="5038" w:hanging="360"/>
      <w:outlineLvl w:val="9"/>
    </w:pPr>
    <w:rPr>
      <w:rFonts w:ascii="Cambria" w:hAnsi="Cambria" w:eastAsia="Calibri" w:cs="Times New Roman"/>
      <w:caps w:val="false"/>
      <w:smallCaps w:val="false"/>
      <w:color w:val="365F91"/>
      <w:kern w:val="0"/>
      <w:sz w:val="28"/>
      <w:szCs w:val="28"/>
      <w:lang w:val="x-none" w:eastAsia="x-none"/>
    </w:rPr>
  </w:style>
  <w:style w:type="paragraph" w:styleId="E-mailSignature">
    <w:name w:val="E-mail Signature"/>
    <w:basedOn w:val="Normal"/>
    <w:link w:val="Style13"/>
    <w:uiPriority w:val="99"/>
    <w:unhideWhenUsed/>
    <w:qFormat/>
    <w:rsid w:val="00d132bf"/>
    <w:pPr>
      <w:suppressAutoHyphens w:val="true"/>
    </w:pPr>
    <w:rPr>
      <w:rFonts w:eastAsia="Calibri"/>
      <w:lang w:val="ru-RU"/>
    </w:rPr>
  </w:style>
  <w:style w:type="paragraph" w:styleId="37" w:customStyle="1">
    <w:name w:val="Нумерованный список ур3"/>
    <w:basedOn w:val="Normal"/>
    <w:qFormat/>
    <w:rsid w:val="00d132bf"/>
    <w:pPr>
      <w:numPr>
        <w:ilvl w:val="2"/>
        <w:numId w:val="25"/>
      </w:numPr>
      <w:suppressAutoHyphens w:val="true"/>
      <w:jc w:val="both"/>
    </w:pPr>
    <w:rPr>
      <w:rFonts w:ascii="Garamond" w:hAnsi="Garamond"/>
      <w:szCs w:val="20"/>
      <w:lang w:val="ru-RU"/>
    </w:rPr>
  </w:style>
  <w:style w:type="paragraph" w:styleId="411" w:customStyle="1">
    <w:name w:val="Маркированный список 41"/>
    <w:basedOn w:val="Normal"/>
    <w:qFormat/>
    <w:rsid w:val="00d132bf"/>
    <w:pPr>
      <w:numPr>
        <w:ilvl w:val="0"/>
        <w:numId w:val="25"/>
      </w:numPr>
      <w:suppressAutoHyphens w:val="true"/>
      <w:spacing w:before="120" w:after="0"/>
      <w:jc w:val="both"/>
    </w:pPr>
    <w:rPr>
      <w:rFonts w:ascii="Garamond" w:hAnsi="Garamond"/>
      <w:szCs w:val="20"/>
      <w:lang w:val="ru-RU"/>
    </w:rPr>
  </w:style>
  <w:style w:type="paragraph" w:styleId="28" w:customStyle="1">
    <w:name w:val="Нумерованный список ур2"/>
    <w:basedOn w:val="Normal"/>
    <w:qFormat/>
    <w:rsid w:val="00d132bf"/>
    <w:pPr>
      <w:numPr>
        <w:ilvl w:val="1"/>
        <w:numId w:val="25"/>
      </w:numPr>
      <w:suppressAutoHyphens w:val="true"/>
      <w:spacing w:before="120" w:after="0"/>
      <w:jc w:val="both"/>
    </w:pPr>
    <w:rPr>
      <w:rFonts w:ascii="Garamond" w:hAnsi="Garamond"/>
      <w:szCs w:val="20"/>
      <w:lang w:val="ru-RU"/>
    </w:rPr>
  </w:style>
  <w:style w:type="paragraph" w:styleId="38" w:customStyle="1">
    <w:name w:val="Знак Знак3 Знак Знак"/>
    <w:basedOn w:val="Normal"/>
    <w:qFormat/>
    <w:rsid w:val="00d132bf"/>
    <w:pPr>
      <w:suppressAutoHyphens w:val="true"/>
      <w:spacing w:lineRule="exact" w:line="240" w:before="0" w:after="160"/>
      <w:jc w:val="both"/>
    </w:pPr>
    <w:rPr>
      <w:rFonts w:ascii="Verdana" w:hAnsi="Verdana" w:cs="Verdana"/>
      <w:sz w:val="22"/>
      <w:szCs w:val="22"/>
      <w:lang w:val="en-US" w:eastAsia="en-US"/>
    </w:rPr>
  </w:style>
  <w:style w:type="paragraph" w:styleId="113" w:customStyle="1">
    <w:name w:val="Абзац списка1"/>
    <w:basedOn w:val="Normal"/>
    <w:qFormat/>
    <w:rsid w:val="00d132bf"/>
    <w:pPr>
      <w:suppressAutoHyphens w:val="true"/>
      <w:spacing w:lineRule="auto" w:line="276" w:before="0" w:after="200"/>
      <w:ind w:left="720" w:hanging="0"/>
      <w:contextualSpacing/>
    </w:pPr>
    <w:rPr>
      <w:rFonts w:ascii="Calibri" w:hAnsi="Calibri"/>
      <w:sz w:val="22"/>
      <w:szCs w:val="22"/>
      <w:lang w:val="ru-RU" w:eastAsia="en-US"/>
    </w:rPr>
  </w:style>
  <w:style w:type="paragraph" w:styleId="Style35" w:customStyle="1">
    <w:name w:val="Таблица"/>
    <w:basedOn w:val="Normal"/>
    <w:qFormat/>
    <w:rsid w:val="00d132bf"/>
    <w:pPr>
      <w:keepNext w:val="true"/>
      <w:suppressAutoHyphens w:val="true"/>
      <w:spacing w:before="60" w:after="60"/>
      <w:jc w:val="center"/>
    </w:pPr>
    <w:rPr>
      <w:rFonts w:eastAsia="Calibri"/>
      <w:b/>
      <w:lang w:val="x-none" w:eastAsia="x-none"/>
    </w:rPr>
  </w:style>
  <w:style w:type="paragraph" w:styleId="Style36" w:customStyle="1">
    <w:name w:val="Таблица шапка"/>
    <w:basedOn w:val="Normal"/>
    <w:qFormat/>
    <w:rsid w:val="00d132bf"/>
    <w:pPr>
      <w:keepNext w:val="true"/>
      <w:suppressAutoHyphens w:val="true"/>
      <w:spacing w:before="40" w:after="40"/>
      <w:ind w:left="57" w:right="57" w:hanging="0"/>
    </w:pPr>
    <w:rPr>
      <w:sz w:val="22"/>
      <w:szCs w:val="26"/>
      <w:lang w:val="ru-RU"/>
    </w:rPr>
  </w:style>
  <w:style w:type="paragraph" w:styleId="Style37" w:customStyle="1">
    <w:name w:val="УРОВЕНЬ_(а)"/>
    <w:basedOn w:val="ListParagraph"/>
    <w:qFormat/>
    <w:rsid w:val="00d132bf"/>
    <w:pPr>
      <w:numPr>
        <w:ilvl w:val="3"/>
        <w:numId w:val="27"/>
      </w:numPr>
      <w:suppressAutoHyphens w:val="true"/>
      <w:spacing w:lineRule="exact" w:line="360" w:before="120" w:after="0"/>
      <w:contextualSpacing w:val="false"/>
      <w:jc w:val="both"/>
      <w:outlineLvl w:val="3"/>
    </w:pPr>
    <w:rPr>
      <w:rFonts w:eastAsia="Calibri"/>
      <w:sz w:val="26"/>
      <w:szCs w:val="28"/>
      <w:lang w:eastAsia="en-US"/>
    </w:rPr>
  </w:style>
  <w:style w:type="paragraph" w:styleId="-" w:customStyle="1">
    <w:name w:val="УРОВЕНЬ_-"/>
    <w:basedOn w:val="ListParagraph"/>
    <w:qFormat/>
    <w:rsid w:val="00d132bf"/>
    <w:pPr>
      <w:numPr>
        <w:ilvl w:val="4"/>
        <w:numId w:val="27"/>
      </w:numPr>
      <w:suppressAutoHyphens w:val="true"/>
      <w:spacing w:lineRule="exact" w:line="360" w:before="120" w:after="0"/>
      <w:contextualSpacing w:val="false"/>
      <w:jc w:val="both"/>
      <w:outlineLvl w:val="4"/>
    </w:pPr>
    <w:rPr>
      <w:rFonts w:eastAsia="Calibri"/>
      <w:sz w:val="26"/>
      <w:szCs w:val="28"/>
      <w:lang w:eastAsia="en-US"/>
    </w:rPr>
  </w:style>
  <w:style w:type="paragraph" w:styleId="29" w:customStyle="1">
    <w:name w:val="УРОВЕНЬ_Абзац_тип2"/>
    <w:basedOn w:val="ListParagraph"/>
    <w:qFormat/>
    <w:rsid w:val="00d132bf"/>
    <w:pPr>
      <w:numPr>
        <w:ilvl w:val="6"/>
        <w:numId w:val="27"/>
      </w:numPr>
      <w:suppressAutoHyphens w:val="true"/>
      <w:spacing w:lineRule="exact" w:line="360" w:before="120" w:after="0"/>
      <w:contextualSpacing w:val="false"/>
      <w:jc w:val="both"/>
    </w:pPr>
    <w:rPr>
      <w:rFonts w:eastAsia="Calibri"/>
      <w:sz w:val="26"/>
      <w:szCs w:val="28"/>
      <w:lang w:eastAsia="en-US"/>
    </w:rPr>
  </w:style>
  <w:style w:type="paragraph" w:styleId="39" w:customStyle="1">
    <w:name w:val="УРОВЕНЬ_Абзац_тип3"/>
    <w:basedOn w:val="ListParagraph"/>
    <w:link w:val="34"/>
    <w:qFormat/>
    <w:rsid w:val="00d132bf"/>
    <w:pPr>
      <w:numPr>
        <w:ilvl w:val="7"/>
        <w:numId w:val="27"/>
      </w:numPr>
      <w:suppressAutoHyphens w:val="true"/>
      <w:spacing w:lineRule="exact" w:line="360" w:before="120" w:after="0"/>
      <w:contextualSpacing w:val="false"/>
      <w:jc w:val="both"/>
    </w:pPr>
    <w:rPr>
      <w:rFonts w:eastAsia="Calibri"/>
      <w:sz w:val="26"/>
      <w:szCs w:val="28"/>
      <w:lang w:eastAsia="en-US"/>
    </w:rPr>
  </w:style>
  <w:style w:type="paragraph" w:styleId="Style38" w:customStyle="1">
    <w:name w:val="УРОВЕНЬ_Подпись"/>
    <w:basedOn w:val="ListParagraph"/>
    <w:qFormat/>
    <w:rsid w:val="00d132bf"/>
    <w:pPr>
      <w:keepNext w:val="true"/>
      <w:numPr>
        <w:ilvl w:val="5"/>
        <w:numId w:val="27"/>
      </w:numPr>
      <w:suppressAutoHyphens w:val="true"/>
      <w:spacing w:lineRule="exact" w:line="360" w:before="120" w:after="120"/>
      <w:contextualSpacing w:val="false"/>
      <w:jc w:val="right"/>
      <w:outlineLvl w:val="3"/>
    </w:pPr>
    <w:rPr>
      <w:rFonts w:eastAsia="Calibri"/>
      <w:sz w:val="26"/>
      <w:szCs w:val="28"/>
      <w:lang w:eastAsia="en-US"/>
    </w:rPr>
  </w:style>
  <w:style w:type="paragraph" w:styleId="114" w:customStyle="1">
    <w:name w:val="Стиль Заголовок 1 + по ширине"/>
    <w:basedOn w:val="Heading1"/>
    <w:qFormat/>
    <w:rsid w:val="00d132bf"/>
    <w:pPr>
      <w:pageBreakBefore w:val="false"/>
      <w:numPr>
        <w:ilvl w:val="0"/>
        <w:numId w:val="0"/>
      </w:numPr>
      <w:tabs>
        <w:tab w:val="clear" w:pos="709"/>
        <w:tab w:val="left" w:pos="567" w:leader="none"/>
      </w:tabs>
      <w:ind w:left="567" w:hanging="567"/>
      <w:jc w:val="both"/>
    </w:pPr>
    <w:rPr>
      <w:rFonts w:cs="Times New Roman"/>
      <w:caps w:val="false"/>
      <w:smallCaps w:val="false"/>
      <w:kern w:val="2"/>
      <w:sz w:val="40"/>
      <w:szCs w:val="20"/>
    </w:rPr>
  </w:style>
  <w:style w:type="paragraph" w:styleId="EndnoteText">
    <w:name w:val="Endnote Text"/>
    <w:basedOn w:val="Normal"/>
    <w:link w:val="Style16"/>
    <w:rsid w:val="00d132bf"/>
    <w:pPr>
      <w:suppressAutoHyphens w:val="true"/>
    </w:pPr>
    <w:rPr>
      <w:sz w:val="20"/>
      <w:szCs w:val="20"/>
      <w:lang w:val="ru-RU"/>
    </w:rPr>
  </w:style>
  <w:style w:type="paragraph" w:styleId="210" w:customStyle="1">
    <w:name w:val="Заголовок 2 КВВ"/>
    <w:basedOn w:val="Normal"/>
    <w:qFormat/>
    <w:rsid w:val="00d132bf"/>
    <w:pPr>
      <w:keepNext w:val="true"/>
      <w:numPr>
        <w:ilvl w:val="0"/>
        <w:numId w:val="28"/>
      </w:numPr>
      <w:suppressAutoHyphens w:val="true"/>
      <w:spacing w:before="120" w:after="120"/>
      <w:jc w:val="both"/>
      <w:outlineLvl w:val="0"/>
    </w:pPr>
    <w:rPr>
      <w:b/>
      <w:kern w:val="2"/>
      <w:szCs w:val="20"/>
      <w:lang w:val="ru-RU" w:eastAsia="x-none"/>
    </w:rPr>
  </w:style>
  <w:style w:type="paragraph" w:styleId="Style39" w:customStyle="1">
    <w:name w:val="Таблица текст"/>
    <w:basedOn w:val="Normal"/>
    <w:qFormat/>
    <w:rsid w:val="00d132bf"/>
    <w:pPr>
      <w:suppressAutoHyphens w:val="true"/>
      <w:spacing w:before="40" w:after="40"/>
      <w:ind w:left="57" w:right="57" w:hanging="0"/>
    </w:pPr>
    <w:rPr>
      <w:szCs w:val="26"/>
      <w:lang w:val="ru-RU"/>
    </w:rPr>
  </w:style>
  <w:style w:type="paragraph" w:styleId="NormalWeb">
    <w:name w:val="Normal (Web)"/>
    <w:basedOn w:val="Normal"/>
    <w:uiPriority w:val="99"/>
    <w:unhideWhenUsed/>
    <w:qFormat/>
    <w:rsid w:val="00d132bf"/>
    <w:pPr>
      <w:suppressAutoHyphens w:val="true"/>
      <w:spacing w:beforeAutospacing="1" w:afterAutospacing="1"/>
    </w:pPr>
    <w:rPr>
      <w:lang w:val="ru-RU"/>
    </w:rPr>
  </w:style>
  <w:style w:type="paragraph" w:styleId="115" w:customStyle="1">
    <w:name w:val="УРОВЕНЬ_1."/>
    <w:basedOn w:val="ListParagraph"/>
    <w:link w:val="12"/>
    <w:qFormat/>
    <w:rsid w:val="00d132bf"/>
    <w:pPr>
      <w:keepNext w:val="true"/>
      <w:keepLines/>
      <w:suppressAutoHyphens w:val="true"/>
      <w:spacing w:lineRule="auto" w:line="276" w:before="240" w:after="120"/>
      <w:ind w:left="0" w:hanging="0"/>
      <w:contextualSpacing w:val="false"/>
      <w:jc w:val="both"/>
      <w:outlineLvl w:val="0"/>
    </w:pPr>
    <w:rPr>
      <w:rFonts w:eastAsia="Calibri"/>
      <w:caps/>
      <w:sz w:val="28"/>
      <w:szCs w:val="28"/>
      <w:lang w:eastAsia="en-US"/>
    </w:rPr>
  </w:style>
  <w:style w:type="paragraph" w:styleId="61" w:customStyle="1">
    <w:name w:val="Оглавление 61"/>
    <w:basedOn w:val="Normal"/>
    <w:next w:val="Normal"/>
    <w:autoRedefine/>
    <w:unhideWhenUsed/>
    <w:qFormat/>
    <w:rsid w:val="00d132bf"/>
    <w:pPr>
      <w:suppressAutoHyphens w:val="true"/>
      <w:ind w:left="1120" w:hanging="0"/>
    </w:pPr>
    <w:rPr>
      <w:rFonts w:ascii="Calibri" w:hAnsi="Calibri" w:cs="Calibri"/>
      <w:sz w:val="20"/>
      <w:szCs w:val="20"/>
      <w:lang w:val="ru-RU"/>
    </w:rPr>
  </w:style>
  <w:style w:type="paragraph" w:styleId="71" w:customStyle="1">
    <w:name w:val="Оглавление 71"/>
    <w:basedOn w:val="Normal"/>
    <w:next w:val="Normal"/>
    <w:autoRedefine/>
    <w:unhideWhenUsed/>
    <w:qFormat/>
    <w:rsid w:val="00d132bf"/>
    <w:pPr>
      <w:suppressAutoHyphens w:val="true"/>
      <w:ind w:left="1400" w:hanging="0"/>
    </w:pPr>
    <w:rPr>
      <w:rFonts w:ascii="Calibri" w:hAnsi="Calibri" w:cs="Calibri"/>
      <w:sz w:val="20"/>
      <w:szCs w:val="20"/>
      <w:lang w:val="ru-RU"/>
    </w:rPr>
  </w:style>
  <w:style w:type="paragraph" w:styleId="81" w:customStyle="1">
    <w:name w:val="Оглавление 81"/>
    <w:basedOn w:val="Normal"/>
    <w:next w:val="Normal"/>
    <w:autoRedefine/>
    <w:unhideWhenUsed/>
    <w:qFormat/>
    <w:rsid w:val="00d132bf"/>
    <w:pPr>
      <w:suppressAutoHyphens w:val="true"/>
      <w:ind w:left="1680" w:hanging="0"/>
    </w:pPr>
    <w:rPr>
      <w:rFonts w:ascii="Calibri" w:hAnsi="Calibri" w:cs="Calibri"/>
      <w:sz w:val="20"/>
      <w:szCs w:val="20"/>
      <w:lang w:val="ru-RU"/>
    </w:rPr>
  </w:style>
  <w:style w:type="paragraph" w:styleId="Msonormal" w:customStyle="1">
    <w:name w:val="msonormal"/>
    <w:basedOn w:val="Normal"/>
    <w:qFormat/>
    <w:rsid w:val="00d132bf"/>
    <w:pPr>
      <w:suppressAutoHyphens w:val="true"/>
      <w:spacing w:beforeAutospacing="1" w:afterAutospacing="1"/>
    </w:pPr>
    <w:rPr>
      <w:lang w:val="ru-RU"/>
    </w:rPr>
  </w:style>
  <w:style w:type="paragraph" w:styleId="Font5" w:customStyle="1">
    <w:name w:val="font5"/>
    <w:basedOn w:val="Normal"/>
    <w:qFormat/>
    <w:rsid w:val="00d132bf"/>
    <w:pPr>
      <w:suppressAutoHyphens w:val="true"/>
      <w:spacing w:beforeAutospacing="1" w:afterAutospacing="1"/>
    </w:pPr>
    <w:rPr>
      <w:rFonts w:ascii="Tahoma" w:hAnsi="Tahoma" w:cs="Tahoma"/>
      <w:b/>
      <w:bCs/>
      <w:color w:val="000000"/>
      <w:sz w:val="18"/>
      <w:szCs w:val="18"/>
      <w:lang w:val="ru-RU"/>
    </w:rPr>
  </w:style>
  <w:style w:type="paragraph" w:styleId="Font6" w:customStyle="1">
    <w:name w:val="font6"/>
    <w:basedOn w:val="Normal"/>
    <w:qFormat/>
    <w:rsid w:val="00d132bf"/>
    <w:pPr>
      <w:suppressAutoHyphens w:val="true"/>
      <w:spacing w:beforeAutospacing="1" w:afterAutospacing="1"/>
    </w:pPr>
    <w:rPr>
      <w:rFonts w:ascii="Tahoma" w:hAnsi="Tahoma" w:cs="Tahoma"/>
      <w:color w:val="000000"/>
      <w:sz w:val="18"/>
      <w:szCs w:val="18"/>
      <w:lang w:val="ru-RU"/>
    </w:rPr>
  </w:style>
  <w:style w:type="paragraph" w:styleId="Xl66" w:customStyle="1">
    <w:name w:val="xl66"/>
    <w:basedOn w:val="Normal"/>
    <w:qFormat/>
    <w:rsid w:val="00d132bf"/>
    <w:pPr>
      <w:pBdr>
        <w:left w:val="single" w:sz="4" w:space="0" w:color="000000"/>
        <w:bottom w:val="single" w:sz="4" w:space="0" w:color="000000"/>
        <w:right w:val="single" w:sz="4" w:space="0" w:color="000000"/>
      </w:pBdr>
      <w:suppressAutoHyphens w:val="true"/>
      <w:spacing w:beforeAutospacing="1" w:afterAutospacing="1"/>
      <w:textAlignment w:val="center"/>
    </w:pPr>
    <w:rPr>
      <w:b/>
      <w:bCs/>
      <w:lang w:val="ru-RU"/>
    </w:rPr>
  </w:style>
  <w:style w:type="paragraph" w:styleId="Xl67" w:customStyle="1">
    <w:name w:val="xl67"/>
    <w:basedOn w:val="Normal"/>
    <w:qFormat/>
    <w:rsid w:val="00d132bf"/>
    <w:pPr>
      <w:pBdr>
        <w:left w:val="single" w:sz="4" w:space="0" w:color="000000"/>
        <w:bottom w:val="single" w:sz="4" w:space="0" w:color="000000"/>
        <w:right w:val="single" w:sz="4" w:space="0" w:color="000000"/>
      </w:pBdr>
      <w:suppressAutoHyphens w:val="true"/>
      <w:spacing w:beforeAutospacing="1" w:afterAutospacing="1"/>
      <w:jc w:val="center"/>
      <w:textAlignment w:val="center"/>
    </w:pPr>
    <w:rPr>
      <w:b/>
      <w:bCs/>
      <w:lang w:val="ru-RU"/>
    </w:rPr>
  </w:style>
  <w:style w:type="paragraph" w:styleId="Xl68" w:customStyle="1">
    <w:name w:val="xl68"/>
    <w:basedOn w:val="Normal"/>
    <w:qFormat/>
    <w:rsid w:val="00d132bf"/>
    <w:pPr>
      <w:pBdr>
        <w:top w:val="single" w:sz="4" w:space="0" w:color="000000"/>
        <w:left w:val="single" w:sz="4" w:space="0" w:color="000000"/>
        <w:bottom w:val="single" w:sz="4" w:space="0" w:color="000000"/>
        <w:right w:val="single" w:sz="4" w:space="0" w:color="000000"/>
      </w:pBdr>
      <w:suppressAutoHyphens w:val="true"/>
      <w:spacing w:beforeAutospacing="1" w:afterAutospacing="1"/>
      <w:textAlignment w:val="center"/>
    </w:pPr>
    <w:rPr>
      <w:b/>
      <w:bCs/>
      <w:lang w:val="ru-RU"/>
    </w:rPr>
  </w:style>
  <w:style w:type="paragraph" w:styleId="Xl69" w:customStyle="1">
    <w:name w:val="xl69"/>
    <w:basedOn w:val="Normal"/>
    <w:qFormat/>
    <w:rsid w:val="00d132bf"/>
    <w:pPr>
      <w:pBdr>
        <w:top w:val="single" w:sz="4" w:space="0" w:color="000000"/>
        <w:left w:val="single" w:sz="4" w:space="0" w:color="000000"/>
        <w:bottom w:val="single" w:sz="4" w:space="0" w:color="000000"/>
        <w:right w:val="single" w:sz="4" w:space="0" w:color="000000"/>
      </w:pBdr>
      <w:suppressAutoHyphens w:val="true"/>
      <w:spacing w:beforeAutospacing="1" w:afterAutospacing="1"/>
      <w:jc w:val="center"/>
      <w:textAlignment w:val="center"/>
    </w:pPr>
    <w:rPr>
      <w:b/>
      <w:bCs/>
      <w:lang w:val="ru-RU"/>
    </w:rPr>
  </w:style>
  <w:style w:type="paragraph" w:styleId="Xl70" w:customStyle="1">
    <w:name w:val="xl70"/>
    <w:basedOn w:val="Normal"/>
    <w:qFormat/>
    <w:rsid w:val="00d132bf"/>
    <w:pPr>
      <w:pBdr>
        <w:top w:val="single" w:sz="4" w:space="0" w:color="000000"/>
        <w:left w:val="single" w:sz="4" w:space="0" w:color="000000"/>
        <w:bottom w:val="single" w:sz="4" w:space="0" w:color="000000"/>
        <w:right w:val="single" w:sz="4" w:space="0" w:color="000000"/>
      </w:pBdr>
      <w:suppressAutoHyphens w:val="true"/>
      <w:spacing w:beforeAutospacing="1" w:afterAutospacing="1"/>
      <w:textAlignment w:val="center"/>
    </w:pPr>
    <w:rPr>
      <w:b/>
      <w:bCs/>
      <w:lang w:val="ru-RU"/>
    </w:rPr>
  </w:style>
  <w:style w:type="paragraph" w:styleId="Xl71" w:customStyle="1">
    <w:name w:val="xl71"/>
    <w:basedOn w:val="Normal"/>
    <w:qFormat/>
    <w:rsid w:val="00d132bf"/>
    <w:pPr>
      <w:pBdr>
        <w:top w:val="single" w:sz="8" w:space="0" w:color="000000"/>
        <w:left w:val="single" w:sz="8" w:space="0" w:color="000000"/>
        <w:right w:val="single" w:sz="8" w:space="0" w:color="000000"/>
      </w:pBdr>
      <w:suppressAutoHyphens w:val="true"/>
      <w:spacing w:beforeAutospacing="1" w:afterAutospacing="1"/>
      <w:textAlignment w:val="center"/>
    </w:pPr>
    <w:rPr>
      <w:lang w:val="ru-RU"/>
    </w:rPr>
  </w:style>
  <w:style w:type="paragraph" w:styleId="Xl72" w:customStyle="1">
    <w:name w:val="xl72"/>
    <w:basedOn w:val="Normal"/>
    <w:qFormat/>
    <w:rsid w:val="00d132bf"/>
    <w:pPr>
      <w:pBdr>
        <w:top w:val="single" w:sz="8" w:space="0" w:color="000000"/>
        <w:right w:val="single" w:sz="8" w:space="0" w:color="000000"/>
      </w:pBdr>
      <w:suppressAutoHyphens w:val="true"/>
      <w:spacing w:beforeAutospacing="1" w:afterAutospacing="1"/>
      <w:jc w:val="center"/>
      <w:textAlignment w:val="center"/>
    </w:pPr>
    <w:rPr>
      <w:lang w:val="ru-RU"/>
    </w:rPr>
  </w:style>
  <w:style w:type="paragraph" w:styleId="Xl73" w:customStyle="1">
    <w:name w:val="xl73"/>
    <w:basedOn w:val="Normal"/>
    <w:qFormat/>
    <w:rsid w:val="00d132bf"/>
    <w:pPr>
      <w:pBdr>
        <w:top w:val="single" w:sz="8" w:space="0" w:color="000000"/>
        <w:left w:val="single" w:sz="8" w:space="0" w:color="000000"/>
        <w:right w:val="single" w:sz="8" w:space="0" w:color="000000"/>
      </w:pBdr>
      <w:suppressAutoHyphens w:val="true"/>
      <w:spacing w:beforeAutospacing="1" w:afterAutospacing="1"/>
      <w:jc w:val="center"/>
      <w:textAlignment w:val="center"/>
    </w:pPr>
    <w:rPr>
      <w:lang w:val="ru-RU"/>
    </w:rPr>
  </w:style>
  <w:style w:type="paragraph" w:styleId="Xl74" w:customStyle="1">
    <w:name w:val="xl74"/>
    <w:basedOn w:val="Normal"/>
    <w:qFormat/>
    <w:rsid w:val="00d132bf"/>
    <w:pPr>
      <w:pBdr>
        <w:left w:val="single" w:sz="4" w:space="0" w:color="000000"/>
        <w:bottom w:val="single" w:sz="4" w:space="0" w:color="000000"/>
        <w:right w:val="single" w:sz="4" w:space="0" w:color="000000"/>
      </w:pBdr>
      <w:suppressAutoHyphens w:val="true"/>
      <w:spacing w:beforeAutospacing="1" w:afterAutospacing="1"/>
      <w:textAlignment w:val="center"/>
    </w:pPr>
    <w:rPr>
      <w:lang w:val="ru-RU"/>
    </w:rPr>
  </w:style>
  <w:style w:type="paragraph" w:styleId="Xl75" w:customStyle="1">
    <w:name w:val="xl75"/>
    <w:basedOn w:val="Normal"/>
    <w:qFormat/>
    <w:rsid w:val="00d132bf"/>
    <w:pPr>
      <w:suppressAutoHyphens w:val="true"/>
      <w:spacing w:beforeAutospacing="1" w:afterAutospacing="1"/>
      <w:jc w:val="center"/>
    </w:pPr>
    <w:rPr>
      <w:lang w:val="ru-RU"/>
    </w:rPr>
  </w:style>
  <w:style w:type="paragraph" w:styleId="Xl76" w:customStyle="1">
    <w:name w:val="xl76"/>
    <w:basedOn w:val="Normal"/>
    <w:qFormat/>
    <w:rsid w:val="00d132bf"/>
    <w:pPr>
      <w:pBdr>
        <w:top w:val="single" w:sz="4" w:space="0" w:color="000000"/>
        <w:left w:val="single" w:sz="4" w:space="0" w:color="000000"/>
        <w:bottom w:val="single" w:sz="4" w:space="0" w:color="000000"/>
        <w:right w:val="single" w:sz="4" w:space="0" w:color="000000"/>
      </w:pBdr>
      <w:suppressAutoHyphens w:val="true"/>
      <w:spacing w:beforeAutospacing="1" w:afterAutospacing="1"/>
      <w:jc w:val="center"/>
    </w:pPr>
    <w:rPr>
      <w:lang w:val="ru-RU"/>
    </w:rPr>
  </w:style>
  <w:style w:type="paragraph" w:styleId="Xl77" w:customStyle="1">
    <w:name w:val="xl77"/>
    <w:basedOn w:val="Normal"/>
    <w:qFormat/>
    <w:rsid w:val="00d132bf"/>
    <w:pPr>
      <w:pBdr>
        <w:left w:val="single" w:sz="4" w:space="0" w:color="000000"/>
        <w:bottom w:val="single" w:sz="4" w:space="0" w:color="000000"/>
        <w:right w:val="single" w:sz="4" w:space="0" w:color="000000"/>
      </w:pBdr>
      <w:suppressAutoHyphens w:val="true"/>
      <w:spacing w:beforeAutospacing="1" w:afterAutospacing="1"/>
      <w:jc w:val="center"/>
    </w:pPr>
    <w:rPr>
      <w:lang w:val="ru-RU"/>
    </w:rPr>
  </w:style>
  <w:style w:type="paragraph" w:styleId="Xl78" w:customStyle="1">
    <w:name w:val="xl78"/>
    <w:basedOn w:val="Normal"/>
    <w:qFormat/>
    <w:rsid w:val="00d132bf"/>
    <w:pPr>
      <w:pBdr>
        <w:top w:val="single" w:sz="8" w:space="0" w:color="000000"/>
        <w:left w:val="single" w:sz="8" w:space="0" w:color="000000"/>
        <w:bottom w:val="single" w:sz="8" w:space="0" w:color="000000"/>
        <w:right w:val="single" w:sz="4" w:space="0" w:color="000000"/>
      </w:pBdr>
      <w:suppressAutoHyphens w:val="true"/>
      <w:spacing w:beforeAutospacing="1" w:afterAutospacing="1"/>
      <w:jc w:val="center"/>
      <w:textAlignment w:val="center"/>
    </w:pPr>
    <w:rPr>
      <w:b/>
      <w:bCs/>
      <w:lang w:val="ru-RU"/>
    </w:rPr>
  </w:style>
  <w:style w:type="paragraph" w:styleId="Xl79" w:customStyle="1">
    <w:name w:val="xl79"/>
    <w:basedOn w:val="Normal"/>
    <w:qFormat/>
    <w:rsid w:val="00d132bf"/>
    <w:pPr>
      <w:pBdr>
        <w:top w:val="single" w:sz="8" w:space="0" w:color="000000"/>
        <w:left w:val="single" w:sz="4" w:space="0" w:color="000000"/>
        <w:bottom w:val="single" w:sz="8" w:space="0" w:color="000000"/>
        <w:right w:val="single" w:sz="4" w:space="0" w:color="000000"/>
      </w:pBdr>
      <w:suppressAutoHyphens w:val="true"/>
      <w:spacing w:beforeAutospacing="1" w:afterAutospacing="1"/>
      <w:jc w:val="center"/>
      <w:textAlignment w:val="center"/>
    </w:pPr>
    <w:rPr>
      <w:b/>
      <w:bCs/>
      <w:lang w:val="ru-RU"/>
    </w:rPr>
  </w:style>
  <w:style w:type="paragraph" w:styleId="Xl80" w:customStyle="1">
    <w:name w:val="xl80"/>
    <w:basedOn w:val="Normal"/>
    <w:qFormat/>
    <w:rsid w:val="00d132bf"/>
    <w:pPr>
      <w:pBdr>
        <w:top w:val="single" w:sz="8" w:space="0" w:color="000000"/>
        <w:left w:val="single" w:sz="4" w:space="0" w:color="000000"/>
        <w:right w:val="single" w:sz="8" w:space="0" w:color="000000"/>
      </w:pBdr>
      <w:suppressAutoHyphens w:val="true"/>
      <w:spacing w:beforeAutospacing="1" w:afterAutospacing="1"/>
      <w:jc w:val="center"/>
      <w:textAlignment w:val="center"/>
    </w:pPr>
    <w:rPr>
      <w:b/>
      <w:bCs/>
      <w:lang w:val="ru-RU"/>
    </w:rPr>
  </w:style>
  <w:style w:type="paragraph" w:styleId="Xl81" w:customStyle="1">
    <w:name w:val="xl81"/>
    <w:basedOn w:val="Normal"/>
    <w:qFormat/>
    <w:rsid w:val="00d132bf"/>
    <w:pPr>
      <w:pBdr>
        <w:top w:val="single" w:sz="4" w:space="0" w:color="000000"/>
        <w:left w:val="single" w:sz="4" w:space="0" w:color="000000"/>
        <w:bottom w:val="single" w:sz="4" w:space="0" w:color="000000"/>
        <w:right w:val="single" w:sz="4" w:space="0" w:color="000000"/>
      </w:pBdr>
      <w:suppressAutoHyphens w:val="true"/>
      <w:spacing w:beforeAutospacing="1" w:afterAutospacing="1"/>
    </w:pPr>
    <w:rPr>
      <w:lang w:val="ru-RU"/>
    </w:rPr>
  </w:style>
  <w:style w:type="paragraph" w:styleId="Xl82" w:customStyle="1">
    <w:name w:val="xl82"/>
    <w:basedOn w:val="Normal"/>
    <w:qFormat/>
    <w:rsid w:val="00d132bf"/>
    <w:pPr>
      <w:pBdr>
        <w:left w:val="single" w:sz="4" w:space="0" w:color="000000"/>
        <w:bottom w:val="single" w:sz="4" w:space="0" w:color="000000"/>
        <w:right w:val="single" w:sz="8" w:space="0" w:color="000000"/>
      </w:pBdr>
      <w:suppressAutoHyphens w:val="true"/>
      <w:spacing w:beforeAutospacing="1" w:afterAutospacing="1"/>
      <w:textAlignment w:val="center"/>
    </w:pPr>
    <w:rPr>
      <w:color w:val="000000"/>
      <w:sz w:val="20"/>
      <w:szCs w:val="20"/>
      <w:lang w:val="ru-RU"/>
    </w:rPr>
  </w:style>
  <w:style w:type="paragraph" w:styleId="Xl83" w:customStyle="1">
    <w:name w:val="xl83"/>
    <w:basedOn w:val="Normal"/>
    <w:qFormat/>
    <w:rsid w:val="00d132bf"/>
    <w:pPr>
      <w:pBdr>
        <w:top w:val="single" w:sz="8" w:space="0" w:color="000000"/>
        <w:left w:val="single" w:sz="8" w:space="0" w:color="000000"/>
        <w:bottom w:val="single" w:sz="8" w:space="0" w:color="000000"/>
        <w:right w:val="single" w:sz="8" w:space="0" w:color="000000"/>
      </w:pBdr>
      <w:suppressAutoHyphens w:val="true"/>
      <w:spacing w:beforeAutospacing="1" w:afterAutospacing="1"/>
      <w:jc w:val="center"/>
      <w:textAlignment w:val="center"/>
    </w:pPr>
    <w:rPr>
      <w:b/>
      <w:bCs/>
      <w:color w:val="000000"/>
      <w:sz w:val="20"/>
      <w:szCs w:val="20"/>
      <w:lang w:val="ru-RU"/>
    </w:rPr>
  </w:style>
  <w:style w:type="paragraph" w:styleId="Xl84" w:customStyle="1">
    <w:name w:val="xl84"/>
    <w:basedOn w:val="Normal"/>
    <w:qFormat/>
    <w:rsid w:val="00d132bf"/>
    <w:pPr>
      <w:pBdr>
        <w:top w:val="single" w:sz="8" w:space="0" w:color="000000"/>
        <w:bottom w:val="single" w:sz="8" w:space="0" w:color="000000"/>
        <w:right w:val="single" w:sz="8" w:space="0" w:color="000000"/>
      </w:pBdr>
      <w:suppressAutoHyphens w:val="true"/>
      <w:spacing w:beforeAutospacing="1" w:afterAutospacing="1"/>
      <w:jc w:val="center"/>
      <w:textAlignment w:val="center"/>
    </w:pPr>
    <w:rPr>
      <w:b/>
      <w:bCs/>
      <w:color w:val="000000"/>
      <w:sz w:val="20"/>
      <w:szCs w:val="20"/>
      <w:lang w:val="ru-RU"/>
    </w:rPr>
  </w:style>
  <w:style w:type="paragraph" w:styleId="Xl85" w:customStyle="1">
    <w:name w:val="xl85"/>
    <w:basedOn w:val="Normal"/>
    <w:qFormat/>
    <w:rsid w:val="00d132bf"/>
    <w:pPr>
      <w:pBdr>
        <w:top w:val="single" w:sz="8" w:space="0" w:color="000000"/>
        <w:bottom w:val="single" w:sz="8" w:space="0" w:color="000000"/>
      </w:pBdr>
      <w:suppressAutoHyphens w:val="true"/>
      <w:spacing w:beforeAutospacing="1" w:afterAutospacing="1"/>
      <w:jc w:val="center"/>
      <w:textAlignment w:val="center"/>
    </w:pPr>
    <w:rPr>
      <w:b/>
      <w:bCs/>
      <w:color w:val="000000"/>
      <w:sz w:val="20"/>
      <w:szCs w:val="20"/>
      <w:lang w:val="ru-RU"/>
    </w:rPr>
  </w:style>
  <w:style w:type="paragraph" w:styleId="Xl86" w:customStyle="1">
    <w:name w:val="xl86"/>
    <w:basedOn w:val="Normal"/>
    <w:qFormat/>
    <w:rsid w:val="00d132bf"/>
    <w:pPr>
      <w:pBdr>
        <w:top w:val="single" w:sz="8" w:space="0" w:color="000000"/>
        <w:left w:val="single" w:sz="4" w:space="0" w:color="000000"/>
        <w:bottom w:val="single" w:sz="8" w:space="0" w:color="000000"/>
        <w:right w:val="single" w:sz="4" w:space="0" w:color="000000"/>
      </w:pBdr>
      <w:suppressAutoHyphens w:val="true"/>
      <w:spacing w:beforeAutospacing="1" w:afterAutospacing="1"/>
      <w:jc w:val="center"/>
      <w:textAlignment w:val="center"/>
    </w:pPr>
    <w:rPr>
      <w:b/>
      <w:bCs/>
      <w:color w:val="000000"/>
      <w:sz w:val="20"/>
      <w:szCs w:val="20"/>
      <w:lang w:val="ru-RU"/>
    </w:rPr>
  </w:style>
  <w:style w:type="paragraph" w:styleId="Xl64" w:customStyle="1">
    <w:name w:val="xl64"/>
    <w:basedOn w:val="Normal"/>
    <w:qFormat/>
    <w:rsid w:val="00d132bf"/>
    <w:pPr>
      <w:pBdr>
        <w:top w:val="single" w:sz="4" w:space="0" w:color="000000"/>
        <w:left w:val="single" w:sz="4" w:space="0" w:color="000000"/>
        <w:bottom w:val="single" w:sz="4" w:space="0" w:color="000000"/>
        <w:right w:val="single" w:sz="4" w:space="0" w:color="000000"/>
      </w:pBdr>
      <w:suppressAutoHyphens w:val="true"/>
      <w:spacing w:beforeAutospacing="1" w:afterAutospacing="1"/>
      <w:jc w:val="center"/>
      <w:textAlignment w:val="center"/>
    </w:pPr>
    <w:rPr>
      <w:color w:val="000000"/>
      <w:sz w:val="20"/>
      <w:szCs w:val="20"/>
      <w:lang w:val="ru-RU"/>
    </w:rPr>
  </w:style>
  <w:style w:type="paragraph" w:styleId="Xl65" w:customStyle="1">
    <w:name w:val="xl65"/>
    <w:basedOn w:val="Normal"/>
    <w:qFormat/>
    <w:rsid w:val="00d132bf"/>
    <w:pPr>
      <w:pBdr>
        <w:top w:val="single" w:sz="4" w:space="0" w:color="000000"/>
        <w:left w:val="single" w:sz="4" w:space="0" w:color="000000"/>
        <w:bottom w:val="single" w:sz="4" w:space="0" w:color="000000"/>
        <w:right w:val="single" w:sz="4" w:space="0" w:color="000000"/>
      </w:pBdr>
      <w:suppressAutoHyphens w:val="true"/>
      <w:spacing w:beforeAutospacing="1" w:afterAutospacing="1"/>
      <w:textAlignment w:val="center"/>
    </w:pPr>
    <w:rPr>
      <w:color w:val="000000"/>
      <w:sz w:val="20"/>
      <w:szCs w:val="20"/>
      <w:lang w:val="ru-RU"/>
    </w:rPr>
  </w:style>
  <w:style w:type="paragraph" w:styleId="Style40" w:customStyle="1">
    <w:name w:val="Содержимое врезки"/>
    <w:basedOn w:val="Normal"/>
    <w:qFormat/>
    <w:rsid w:val="00d132bf"/>
    <w:pPr>
      <w:suppressAutoHyphens w:val="true"/>
    </w:pPr>
    <w:rPr>
      <w:sz w:val="28"/>
      <w:szCs w:val="28"/>
      <w:lang w:val="ru-RU"/>
    </w:rPr>
  </w:style>
  <w:style w:type="paragraph" w:styleId="Style41" w:customStyle="1">
    <w:name w:val="Содержимое таблицы"/>
    <w:basedOn w:val="Normal"/>
    <w:qFormat/>
    <w:rsid w:val="00d132bf"/>
    <w:pPr>
      <w:widowControl w:val="false"/>
      <w:suppressLineNumbers/>
      <w:suppressAutoHyphens w:val="true"/>
    </w:pPr>
    <w:rPr>
      <w:sz w:val="28"/>
      <w:szCs w:val="28"/>
      <w:lang w:val="ru-RU"/>
    </w:rPr>
  </w:style>
  <w:style w:type="paragraph" w:styleId="Style42" w:customStyle="1">
    <w:name w:val="Заголовок таблицы"/>
    <w:basedOn w:val="Style41"/>
    <w:qFormat/>
    <w:rsid w:val="00d132bf"/>
    <w:pPr>
      <w:jc w:val="center"/>
    </w:pPr>
    <w:rPr>
      <w:b/>
      <w:bCs/>
    </w:rPr>
  </w:style>
  <w:style w:type="numbering" w:styleId="NoList" w:default="1">
    <w:name w:val="No List"/>
    <w:uiPriority w:val="99"/>
    <w:semiHidden/>
    <w:unhideWhenUsed/>
    <w:qFormat/>
  </w:style>
  <w:style w:type="numbering" w:styleId="116" w:customStyle="1">
    <w:name w:val="Нет списка1"/>
    <w:uiPriority w:val="99"/>
    <w:semiHidden/>
    <w:unhideWhenUsed/>
    <w:qFormat/>
    <w:rsid w:val="00d132bf"/>
  </w:style>
  <w:style w:type="numbering" w:styleId="117" w:customStyle="1">
    <w:name w:val="Стиль1"/>
    <w:uiPriority w:val="99"/>
    <w:qFormat/>
    <w:rsid w:val="00d132bf"/>
  </w:style>
  <w:style w:type="numbering" w:styleId="213" w:customStyle="1">
    <w:name w:val="Стиль2"/>
    <w:uiPriority w:val="99"/>
    <w:qFormat/>
    <w:rsid w:val="00d132bf"/>
  </w:style>
  <w:style w:type="table" w:default="1" w:styleId="a8">
    <w:name w:val="Normal Table"/>
    <w:uiPriority w:val="99"/>
    <w:semiHidden/>
    <w:unhideWhenUsed/>
    <w:tblPr>
      <w:tblCellMar>
        <w:top w:w="0" w:type="dxa"/>
        <w:left w:w="108" w:type="dxa"/>
        <w:bottom w:w="0" w:type="dxa"/>
        <w:right w:w="108" w:type="dxa"/>
      </w:tblCellMar>
    </w:tblPr>
  </w:style>
  <w:style w:type="table" w:styleId="ab">
    <w:name w:val="Table Grid"/>
    <w:basedOn w:val="a8"/>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4">
    <w:name w:val="Сетка таблицы1"/>
    <w:basedOn w:val="a8"/>
    <w:uiPriority w:val="39"/>
    <w:rsid w:val="00d132b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етка таблицы11"/>
    <w:basedOn w:val="a8"/>
    <w:uiPriority w:val="39"/>
    <w:rsid w:val="00d132bf"/>
    <w:rPr>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s://www.consultant.ru/document/cons_doc_LAW_115853/"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footer" Target="footer1.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Relationship Id="rId26" Type="http://schemas.openxmlformats.org/officeDocument/2006/relationships/customXml" Target="../customXml/item4.xml"/><Relationship Id="rId27" Type="http://schemas.openxmlformats.org/officeDocument/2006/relationships/customXml" Target="../customXml/item5.xml"/><Relationship Id="rId28" Type="http://schemas.openxmlformats.org/officeDocument/2006/relationships/customXml" Target="../customXml/item6.xml"/><Relationship Id="rId2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42CA7F4-14D3-4E55-8639-B1B7BE8C514B}">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A75E715-7FB9-4A53-9338-C14ECAA63AF1}">
  <ds:schemaRefs>
    <ds:schemaRef ds:uri="http://schemas.openxmlformats.org/officeDocument/2006/bibliography"/>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AlterOffice/2025.2.1.0$Linux_X86_64 LibreOffice_project/d2c615264c9535987c375e0f04a158be6015ce3d</Application>
  <AppVersion>15.0000</AppVersion>
  <Pages>51</Pages>
  <Words>14644</Words>
  <Characters>93813</Characters>
  <CharactersWithSpaces>106630</CharactersWithSpaces>
  <Paragraphs>2279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
  <cp:lastPrinted>2016-12-15T13:00:00Z</cp:lastPrinted>
  <dcterms:modified xsi:type="dcterms:W3CDTF">2026-06-30T14:01:12Z</dcterms:modified>
  <cp:revision>11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