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нерегламентированная закупка, по лоту № 002</w:t>
      </w:r>
      <w:r>
        <w:rPr>
          <w:sz w:val="22"/>
          <w:szCs w:val="22"/>
        </w:rPr>
        <w:t>6</w:t>
      </w:r>
      <w:r>
        <w:rPr>
          <w:sz w:val="22"/>
          <w:szCs w:val="22"/>
        </w:rPr>
        <w:t>-ТПИР ОНМ-2026-ГРВКК-ВолФ, на основании аналитической записки,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60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24</w:t>
      </w:r>
      <w:r>
        <w:rPr>
          <w:rFonts w:eastAsia="Calibri"/>
          <w:sz w:val="22"/>
          <w:szCs w:val="22"/>
          <w:shd w:fill="auto" w:val="clear"/>
          <w:lang w:eastAsia="en-US"/>
        </w:rPr>
        <w:t xml:space="preserve"> (</w:t>
      </w:r>
      <w:r>
        <w:rPr>
          <w:rFonts w:eastAsia="Calibri"/>
          <w:sz w:val="22"/>
          <w:szCs w:val="22"/>
          <w:shd w:fill="auto" w:val="clear"/>
          <w:lang w:eastAsia="en-US"/>
        </w:rPr>
        <w:t>Двадцать четыре</w:t>
      </w:r>
      <w:r>
        <w:rPr>
          <w:rFonts w:eastAsia="Calibri"/>
          <w:sz w:val="22"/>
          <w:szCs w:val="22"/>
          <w:shd w:fill="auto" w:val="clear"/>
          <w:lang w:eastAsia="en-US"/>
        </w:rPr>
        <w:t>) месяц</w:t>
      </w:r>
      <w:r>
        <w:rPr>
          <w:rFonts w:eastAsia="Calibri"/>
          <w:sz w:val="22"/>
          <w:szCs w:val="22"/>
          <w:shd w:fill="auto" w:val="clear"/>
          <w:lang w:eastAsia="en-US"/>
        </w:rPr>
        <w:t>а</w:t>
      </w:r>
      <w:r>
        <w:rPr>
          <w:rFonts w:eastAsia="Calibri"/>
          <w:sz w:val="22"/>
          <w:szCs w:val="22"/>
          <w:shd w:fill="auto" w:val="clear"/>
          <w:lang w:eastAsia="en-US"/>
        </w:rPr>
        <w:t xml:space="preserve">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02"/>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Application>AlterOffice/3.4.0.9$Linux_X86_64 LibreOffice_project/b8daf9e823b1a5463a2f48435ddc2e8696e7d4fc</Application>
  <AppVersion>15.0000</AppVersion>
  <Pages>16</Pages>
  <Words>6870</Words>
  <Characters>48672</Characters>
  <CharactersWithSpaces>55200</CharactersWithSpaces>
  <Paragraphs>287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2026-06-30T08:41:47Z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