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41696704"/>
      <w:bookmarkStart w:id="2" w:name="_Toc137554584"/>
      <w:bookmarkStart w:id="3" w:name="_Toc139856287"/>
      <w:bookmarkStart w:id="4" w:name="_Toc141696704"/>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75545841"/>
      <w:bookmarkStart w:id="7" w:name="_Toc1416967041"/>
      <w:bookmarkStart w:id="8" w:name="_Toc1398562871"/>
      <w:bookmarkStart w:id="9" w:name="_Toc1375545841"/>
      <w:bookmarkStart w:id="10" w:name="_Toc1416967041"/>
      <w:bookmarkStart w:id="11" w:name="_Toc139856287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Style w:val="Style8"/>
          <w:rFonts w:eastAsia="Calibri"/>
          <w:bCs/>
          <w:i w:val="false"/>
          <w:color w:val="C9211E"/>
          <w:sz w:val="26"/>
          <w:szCs w:val="26"/>
          <w:shd w:fill="auto" w:val="clear"/>
        </w:rPr>
        <w:t xml:space="preserve">  </w:t>
      </w: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ОКПД2 28.29.32.000 Поставка электронных весов для нужд Волжского филиала</w:t>
      </w:r>
    </w:p>
    <w:p>
      <w:pPr>
        <w:pStyle w:val="Normal"/>
        <w:widowControl w:val="false"/>
        <w:tabs>
          <w:tab w:val="clear" w:pos="708"/>
          <w:tab w:val="left" w:pos="426" w:leader="none"/>
        </w:tabs>
        <w:spacing w:before="120" w:after="120"/>
        <w:jc w:val="center"/>
        <w:rPr/>
      </w:pP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Лот № 0026-ТПИР ОНМ-2026-ГРВКК-ВолФ</w:t>
      </w:r>
    </w:p>
    <w:p>
      <w:pPr>
        <w:pStyle w:val="Normal"/>
        <w:bidi w:val="0"/>
        <w:jc w:val="center"/>
        <w:rPr>
          <w:rStyle w:val="Style8"/>
          <w:rFonts w:ascii="Times New Roman" w:hAnsi="Times New Roman" w:eastAsia="Calibri" w:cs="Times New Roman"/>
          <w:b w:val="false"/>
          <w:bCs/>
          <w:i/>
          <w:i/>
          <w:iCs/>
          <w:strike w:val="false"/>
          <w:dstrike w:val="false"/>
          <w:outline w:val="false"/>
          <w:shadow w:val="false"/>
          <w:color w:val="C9211E"/>
          <w:sz w:val="24"/>
          <w:szCs w:val="24"/>
          <w:u w:val="none"/>
          <w:shd w:fill="auto" w:val="clear"/>
          <w:em w:val="none"/>
        </w:rPr>
      </w:pPr>
      <w:r>
        <w:rPr>
          <w:rFonts w:eastAsia="Calibri" w:cs="Times New Roman"/>
          <w:b w:val="false"/>
          <w:bCs/>
          <w:i/>
          <w:iCs/>
          <w:strike w:val="false"/>
          <w:dstrike w:val="false"/>
          <w:outline w:val="false"/>
          <w:shadow w:val="false"/>
          <w:color w:val="C9211E"/>
          <w:sz w:val="24"/>
          <w:szCs w:val="24"/>
          <w:u w:val="none"/>
          <w:shd w:fill="auto" w:val="clear"/>
          <w:em w:val="none"/>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numPr>
          <w:ilvl w:val="0"/>
          <w:numId w:val="3"/>
        </w:numPr>
        <w:ind w:left="357" w:hanging="357"/>
        <w:jc w:val="center"/>
        <w:rPr>
          <w:caps/>
          <w:lang w:val="ru-RU"/>
        </w:rPr>
      </w:pPr>
      <w:bookmarkStart w:id="12" w:name="_Toc184220610"/>
      <w:bookmarkStart w:id="13" w:name="_Toc51339692"/>
      <w:r>
        <w:rPr>
          <w:lang w:val="ru-RU"/>
        </w:rPr>
        <w:t>Общие сведения</w:t>
      </w:r>
      <w:bookmarkEnd w:id="12"/>
      <w:bookmarkEnd w:id="13"/>
    </w:p>
    <w:p>
      <w:pPr>
        <w:pStyle w:val="Heading4"/>
        <w:numPr>
          <w:ilvl w:val="1"/>
          <w:numId w:val="3"/>
        </w:numPr>
        <w:rPr/>
      </w:pPr>
      <w:bookmarkStart w:id="14" w:name="_Toc184220611"/>
      <w:bookmarkStart w:id="15" w:name="_Toc46743505"/>
      <w:r>
        <w:rPr/>
        <w:t>Обозначения и сокращения</w:t>
      </w:r>
      <w:bookmarkEnd w:id="14"/>
      <w:bookmarkEnd w:id="15"/>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УПД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Универсальный передаточный документ</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ГОСТ</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Государственный общесоюзный стандарт</w:t>
            </w:r>
          </w:p>
        </w:tc>
      </w:tr>
    </w:tbl>
    <w:p>
      <w:pPr>
        <w:pStyle w:val="Heading4"/>
        <w:numPr>
          <w:ilvl w:val="1"/>
          <w:numId w:val="3"/>
        </w:numPr>
        <w:rPr/>
      </w:pPr>
      <w:bookmarkStart w:id="16" w:name="_Toc184220612"/>
      <w:bookmarkStart w:id="17" w:name="_Toc46743506"/>
      <w:r>
        <w:rPr/>
        <w:t>Наименование закупаемой продукции</w:t>
      </w:r>
      <w:bookmarkEnd w:id="16"/>
      <w:bookmarkEnd w:id="17"/>
    </w:p>
    <w:p>
      <w:pPr>
        <w:pStyle w:val="Normal"/>
        <w:widowControl w:val="false"/>
        <w:tabs>
          <w:tab w:val="clear" w:pos="708"/>
          <w:tab w:val="left" w:pos="426" w:leader="none"/>
        </w:tabs>
        <w:spacing w:before="120" w:after="120"/>
        <w:rPr/>
      </w:pPr>
      <w:r>
        <w:rPr>
          <w:rFonts w:eastAsia="Calibri"/>
          <w:sz w:val="24"/>
          <w:szCs w:val="24"/>
          <w:shd w:fill="FFFFFF" w:val="clear"/>
          <w:lang w:eastAsia="x-none"/>
        </w:rPr>
        <w:t>ОКПД2 28.29.32.000 Поставка электронных весов для нужд Волжского филиала (далее — Продукция)</w:t>
      </w:r>
    </w:p>
    <w:p>
      <w:pPr>
        <w:pStyle w:val="Heading4"/>
        <w:numPr>
          <w:ilvl w:val="1"/>
          <w:numId w:val="3"/>
        </w:numPr>
        <w:spacing w:before="240" w:after="60"/>
        <w:ind w:left="431" w:hanging="431"/>
        <w:rPr/>
      </w:pPr>
      <w:bookmarkStart w:id="18" w:name="_Toc184220613"/>
      <w:bookmarkStart w:id="19" w:name="_Toc46743507"/>
      <w:r>
        <w:rPr/>
        <w:t xml:space="preserve">Цель </w:t>
      </w:r>
      <w:bookmarkEnd w:id="19"/>
      <w:r>
        <w:rPr>
          <w:lang w:val="ru-RU"/>
        </w:rPr>
        <w:t>использования закупаемой продукции:</w:t>
      </w:r>
      <w:bookmarkEnd w:id="18"/>
      <w:r>
        <w:rPr>
          <w:lang w:val="ru-RU"/>
        </w:rPr>
        <w:t xml:space="preserve"> </w:t>
      </w:r>
    </w:p>
    <w:p>
      <w:pPr>
        <w:pStyle w:val="Heading4"/>
        <w:spacing w:before="240" w:after="60"/>
        <w:ind w:left="0" w:hanging="0"/>
        <w:jc w:val="both"/>
        <w:rPr/>
      </w:pPr>
      <w:bookmarkStart w:id="20" w:name="_Toc184220614"/>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w:t>
      </w:r>
      <w:bookmarkEnd w:id="20"/>
      <w:r>
        <w:rPr>
          <w:rStyle w:val="Style8"/>
          <w:b w:val="false"/>
          <w:bCs w:val="false"/>
          <w:i w:val="false"/>
          <w:shd w:fill="auto" w:val="clear"/>
          <w:lang w:val="ru-RU"/>
        </w:rPr>
        <w:t>в целях исполнения инвестпрограммы 2026 года</w:t>
      </w:r>
      <w:r>
        <w:rPr>
          <w:rStyle w:val="Style8"/>
          <w:rFonts w:eastAsia="Calibri"/>
          <w:b w:val="false"/>
          <w:bCs w:val="false"/>
          <w:i w:val="false"/>
          <w:iCs w:val="false"/>
          <w:color w:val="000000"/>
          <w:sz w:val="24"/>
          <w:szCs w:val="24"/>
          <w:shd w:fill="auto" w:val="clear"/>
          <w:lang w:val="ru-RU" w:eastAsia="en-US"/>
        </w:rPr>
        <w:t>.</w:t>
      </w:r>
    </w:p>
    <w:p>
      <w:pPr>
        <w:pStyle w:val="Heading1"/>
        <w:keepLines/>
        <w:numPr>
          <w:ilvl w:val="0"/>
          <w:numId w:val="3"/>
        </w:numPr>
        <w:ind w:left="357" w:hanging="357"/>
        <w:jc w:val="center"/>
        <w:rPr>
          <w:iCs/>
          <w:caps/>
          <w:lang w:val="ru-RU"/>
        </w:rPr>
      </w:pPr>
      <w:bookmarkStart w:id="21" w:name="_Toc184220615"/>
      <w:bookmarkStart w:id="22" w:name="_Toc51339693"/>
      <w:bookmarkStart w:id="23" w:name="_Toc50125126"/>
      <w:bookmarkStart w:id="24" w:name="_Toc46743510"/>
      <w:bookmarkEnd w:id="23"/>
      <w:bookmarkEnd w:id="24"/>
      <w:r>
        <w:rPr>
          <w:iCs/>
        </w:rPr>
        <w:t>Требования к продукции</w:t>
      </w:r>
      <w:bookmarkEnd w:id="21"/>
      <w:bookmarkEnd w:id="22"/>
    </w:p>
    <w:p>
      <w:pPr>
        <w:pStyle w:val="Heading4"/>
        <w:numPr>
          <w:ilvl w:val="1"/>
          <w:numId w:val="3"/>
        </w:numPr>
        <w:rPr/>
      </w:pPr>
      <w:bookmarkStart w:id="25" w:name="_Toc184220616"/>
      <w:r>
        <w:rPr/>
        <w:t xml:space="preserve">Требования к объемам и срокам </w:t>
      </w:r>
      <w:r>
        <w:rPr>
          <w:lang w:val="ru-RU"/>
        </w:rPr>
        <w:t>поставки</w:t>
      </w:r>
      <w:bookmarkEnd w:id="25"/>
    </w:p>
    <w:p>
      <w:pPr>
        <w:pStyle w:val="Heading3"/>
        <w:numPr>
          <w:ilvl w:val="2"/>
          <w:numId w:val="3"/>
        </w:numPr>
        <w:rPr/>
      </w:pPr>
      <w:bookmarkStart w:id="26" w:name="_Toc184220617"/>
      <w:r>
        <w:rPr>
          <w:lang w:val="ru-RU"/>
        </w:rPr>
        <w:t>Перечень и объем закупаемой продукции</w:t>
      </w:r>
      <w:bookmarkEnd w:id="26"/>
    </w:p>
    <w:p>
      <w:pPr>
        <w:pStyle w:val="Heading1"/>
        <w:keepLines/>
        <w:tabs>
          <w:tab w:val="clear" w:pos="0"/>
        </w:tabs>
        <w:spacing w:before="240" w:after="60"/>
        <w:ind w:left="0" w:hanging="0"/>
        <w:rPr>
          <w:sz w:val="24"/>
          <w:szCs w:val="24"/>
          <w:lang w:val="ru-RU"/>
        </w:rPr>
      </w:pPr>
      <w:bookmarkStart w:id="27" w:name="_Toc184220618"/>
      <w:bookmarkStart w:id="28"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8"/>
      <w:r>
        <w:rPr>
          <w:sz w:val="24"/>
          <w:szCs w:val="24"/>
          <w:lang w:val="ru-RU"/>
        </w:rPr>
        <w:t>и объем закупаемой продукции</w:t>
      </w:r>
      <w:bookmarkEnd w:id="27"/>
    </w:p>
    <w:tbl>
      <w:tblPr>
        <w:tblW w:w="10004" w:type="dxa"/>
        <w:jc w:val="left"/>
        <w:tblInd w:w="-29" w:type="dxa"/>
        <w:tblLayout w:type="fixed"/>
        <w:tblCellMar>
          <w:top w:w="0" w:type="dxa"/>
          <w:left w:w="108" w:type="dxa"/>
          <w:bottom w:w="0" w:type="dxa"/>
          <w:right w:w="108" w:type="dxa"/>
        </w:tblCellMar>
        <w:tblLook w:val="0000" w:noHBand="0" w:noVBand="0" w:firstColumn="0" w:lastRow="0" w:lastColumn="0" w:firstRow="0"/>
      </w:tblPr>
      <w:tblGrid>
        <w:gridCol w:w="778"/>
        <w:gridCol w:w="7446"/>
        <w:gridCol w:w="890"/>
        <w:gridCol w:w="889"/>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744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74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7446" w:type="dxa"/>
            <w:tcBorders>
              <w:left w:val="single" w:sz="4" w:space="0" w:color="000000"/>
              <w:bottom w:val="single" w:sz="4" w:space="0" w:color="000000"/>
              <w:right w:val="single" w:sz="4" w:space="0" w:color="000000"/>
            </w:tcBorders>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eastAsia="x-none"/>
              </w:rPr>
              <w:t>Весы электронные K091R07 или эквивалент</w:t>
            </w:r>
          </w:p>
        </w:tc>
        <w:tc>
          <w:tcPr>
            <w:tcW w:w="890"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rPr>
              <w:t>шт</w:t>
            </w:r>
          </w:p>
        </w:tc>
        <w:tc>
          <w:tcPr>
            <w:tcW w:w="889"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sz w:val="24"/>
                <w:szCs w:val="24"/>
              </w:rPr>
            </w:pPr>
            <w:r>
              <w:rPr>
                <w:color w:val="000000"/>
                <w:sz w:val="24"/>
                <w:szCs w:val="24"/>
              </w:rPr>
              <w:t>1</w:t>
            </w:r>
          </w:p>
        </w:tc>
      </w:tr>
    </w:tbl>
    <w:p>
      <w:pPr>
        <w:pStyle w:val="Heading3"/>
        <w:numPr>
          <w:ilvl w:val="2"/>
          <w:numId w:val="3"/>
        </w:numPr>
        <w:rPr>
          <w:lang w:val="ru-RU"/>
        </w:rPr>
      </w:pPr>
      <w:bookmarkStart w:id="29" w:name="_Toc184220619"/>
      <w:bookmarkStart w:id="30" w:name="_Toc51339696"/>
      <w:bookmarkStart w:id="31" w:name="_Toc75446577"/>
      <w:bookmarkEnd w:id="31"/>
      <w:r>
        <w:rPr>
          <w:lang w:val="ru-RU"/>
        </w:rPr>
        <w:t xml:space="preserve">Требования </w:t>
      </w:r>
      <w:bookmarkEnd w:id="30"/>
      <w:r>
        <w:rPr>
          <w:lang w:val="ru-RU"/>
        </w:rPr>
        <w:t>к срокам поставки продукции и оказания сопутствующих услуг</w:t>
      </w:r>
      <w:bookmarkEnd w:id="29"/>
    </w:p>
    <w:p>
      <w:pPr>
        <w:pStyle w:val="Heading1"/>
        <w:keepLines/>
        <w:tabs>
          <w:tab w:val="clear" w:pos="0"/>
        </w:tabs>
        <w:spacing w:before="240" w:after="60"/>
        <w:ind w:left="0" w:hanging="0"/>
        <w:rPr>
          <w:sz w:val="24"/>
          <w:szCs w:val="24"/>
          <w:lang w:val="ru-RU"/>
        </w:rPr>
      </w:pPr>
      <w:bookmarkStart w:id="32" w:name="_Toc184220620"/>
      <w:bookmarkStart w:id="33" w:name="_Toc51339697"/>
      <w:bookmarkStart w:id="34" w:name="_Toc50125127"/>
      <w:bookmarkStart w:id="35" w:name="_Toc501251261"/>
      <w:bookmarkEnd w:id="35"/>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6" w:name="_Hlk50465284"/>
      <w:r>
        <w:rPr>
          <w:sz w:val="24"/>
          <w:szCs w:val="24"/>
        </w:rPr>
        <w:t xml:space="preserve">Требования по срокам </w:t>
      </w:r>
      <w:bookmarkEnd w:id="33"/>
      <w:bookmarkEnd w:id="34"/>
      <w:bookmarkEnd w:id="36"/>
      <w:r>
        <w:rPr>
          <w:sz w:val="24"/>
          <w:szCs w:val="24"/>
          <w:lang w:val="ru-RU"/>
        </w:rPr>
        <w:t>поставки продукции</w:t>
      </w:r>
      <w:bookmarkEnd w:id="32"/>
      <w:r>
        <w:rPr>
          <w:sz w:val="24"/>
          <w:szCs w:val="24"/>
          <w:lang w:val="ru-RU"/>
        </w:rPr>
        <w:t xml:space="preserve"> </w:t>
      </w:r>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7"/>
        <w:gridCol w:w="5060"/>
        <w:gridCol w:w="1765"/>
        <w:gridCol w:w="2467"/>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2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1.</w:t>
            </w:r>
          </w:p>
        </w:tc>
        <w:tc>
          <w:tcPr>
            <w:tcW w:w="5060" w:type="dxa"/>
            <w:tcBorders>
              <w:left w:val="single" w:sz="4" w:space="0" w:color="000000"/>
              <w:bottom w:val="single" w:sz="4" w:space="0" w:color="000000"/>
              <w:right w:val="single" w:sz="4" w:space="0" w:color="000000"/>
            </w:tcBorders>
            <w:shd w:color="auto" w:fill="auto" w:val="clear"/>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val="en-US" w:eastAsia="x-none"/>
              </w:rPr>
              <w:t>ОКПД2 28.29.32.000 Поставка электронных весов для нужд Волжского филиала</w:t>
            </w:r>
          </w:p>
        </w:tc>
        <w:tc>
          <w:tcPr>
            <w:tcW w:w="176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2467" w:type="dxa"/>
            <w:tcBorders>
              <w:left w:val="single" w:sz="4" w:space="0" w:color="000000"/>
              <w:bottom w:val="single" w:sz="4" w:space="0" w:color="000000"/>
              <w:right w:val="single" w:sz="4" w:space="0" w:color="000000"/>
            </w:tcBorders>
            <w:vAlign w:val="center"/>
          </w:tcPr>
          <w:p>
            <w:pPr>
              <w:pStyle w:val="Normal"/>
              <w:widowControl w:val="false"/>
              <w:jc w:val="center"/>
              <w:rPr/>
            </w:pPr>
            <w:r>
              <w:rPr>
                <w:i w:val="false"/>
                <w:iCs w:val="false"/>
                <w:sz w:val="24"/>
                <w:szCs w:val="24"/>
              </w:rPr>
              <w:t>В течении 60 календарных дней с даты подписания договора</w:t>
            </w:r>
          </w:p>
        </w:tc>
      </w:tr>
    </w:tbl>
    <w:p>
      <w:pPr>
        <w:pStyle w:val="Heading4"/>
        <w:numPr>
          <w:ilvl w:val="1"/>
          <w:numId w:val="3"/>
        </w:numPr>
        <w:rPr/>
      </w:pPr>
      <w:bookmarkStart w:id="37" w:name="_Toc184220621"/>
      <w:bookmarkStart w:id="38" w:name="_Toc46743511"/>
      <w:bookmarkStart w:id="39" w:name="_Toc75446580"/>
      <w:bookmarkEnd w:id="39"/>
      <w:r>
        <w:rPr/>
        <w:t xml:space="preserve">Требования к </w:t>
      </w:r>
      <w:bookmarkEnd w:id="38"/>
      <w:r>
        <w:rPr>
          <w:lang w:val="ru-RU"/>
        </w:rPr>
        <w:t>качеству продукции</w:t>
      </w:r>
      <w:bookmarkEnd w:id="37"/>
    </w:p>
    <w:p>
      <w:pPr>
        <w:pStyle w:val="Heading1"/>
        <w:keepLines/>
        <w:tabs>
          <w:tab w:val="clear" w:pos="0"/>
        </w:tabs>
        <w:spacing w:before="240" w:after="60"/>
        <w:ind w:left="0" w:hanging="0"/>
        <w:rPr>
          <w:sz w:val="24"/>
          <w:szCs w:val="24"/>
        </w:rPr>
      </w:pPr>
      <w:r>
        <w:rPr>
          <w:sz w:val="24"/>
          <w:szCs w:val="24"/>
        </w:rPr>
        <w:t xml:space="preserve"> </w:t>
      </w:r>
      <w:bookmarkStart w:id="40"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40"/>
      <w:r>
        <w:rPr>
          <w:sz w:val="24"/>
          <w:szCs w:val="24"/>
        </w:rPr>
        <w:t xml:space="preserve"> </w:t>
      </w:r>
    </w:p>
    <w:p>
      <w:pPr>
        <w:pStyle w:val="Normal"/>
        <w:jc w:val="both"/>
        <w:rPr>
          <w:sz w:val="24"/>
          <w:szCs w:val="24"/>
        </w:rPr>
      </w:pPr>
      <w:r>
        <w:rPr>
          <w:b/>
          <w:bCs/>
          <w:sz w:val="24"/>
          <w:szCs w:val="24"/>
        </w:rPr>
        <w:t>Наименование продукции: ОКПД2 28.29.32.000 Поставка электронных весов для нужд Волжского филиала</w:t>
      </w:r>
    </w:p>
    <w:p>
      <w:pPr>
        <w:pStyle w:val="Normal"/>
        <w:jc w:val="both"/>
        <w:rPr>
          <w:b/>
          <w:bCs/>
          <w:iCs/>
          <w:sz w:val="24"/>
          <w:szCs w:val="24"/>
        </w:rPr>
      </w:pPr>
      <w:r>
        <w:rPr>
          <w:b/>
          <w:bCs/>
          <w:iCs/>
          <w:sz w:val="24"/>
          <w:szCs w:val="24"/>
        </w:rPr>
      </w:r>
      <w:bookmarkStart w:id="41" w:name="_GoBack"/>
      <w:bookmarkStart w:id="42" w:name="_GoBack"/>
      <w:bookmarkEnd w:id="42"/>
    </w:p>
    <w:tbl>
      <w:tblPr>
        <w:tblStyle w:val="affff6"/>
        <w:tblW w:w="1003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40"/>
        <w:gridCol w:w="4479"/>
        <w:gridCol w:w="4716"/>
      </w:tblGrid>
      <w:tr>
        <w:trPr/>
        <w:tc>
          <w:tcPr>
            <w:tcW w:w="840"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4479"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716"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40"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4479"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716"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c>
          <w:tcPr>
            <w:tcW w:w="10035" w:type="dxa"/>
            <w:gridSpan w:val="3"/>
            <w:tcBorders>
              <w:top w:val="nil"/>
            </w:tcBorders>
            <w:vAlign w:val="center"/>
          </w:tcPr>
          <w:p>
            <w:pPr>
              <w:pStyle w:val="Normal"/>
              <w:widowControl w:val="false"/>
              <w:suppressAutoHyphens w:val="true"/>
              <w:spacing w:before="60" w:after="60"/>
              <w:jc w:val="left"/>
              <w:rPr>
                <w:b/>
                <w:bCs/>
                <w:sz w:val="24"/>
                <w:szCs w:val="24"/>
              </w:rPr>
            </w:pPr>
            <w:r>
              <w:rPr>
                <w:b/>
                <w:bCs/>
                <w:sz w:val="24"/>
                <w:szCs w:val="24"/>
              </w:rPr>
              <w:t>ОКПД2 28.29.32.000 Поставка электронных весов для нужд Волжского филиала</w:t>
            </w:r>
          </w:p>
        </w:tc>
      </w:tr>
      <w:tr>
        <w:trPr>
          <w:trHeight w:val="510" w:hRule="atLeast"/>
        </w:trPr>
        <w:tc>
          <w:tcPr>
            <w:tcW w:w="840" w:type="dxa"/>
            <w:tcBorders>
              <w:right w:val="nil"/>
            </w:tcBorders>
            <w:vAlign w:val="center"/>
          </w:tcPr>
          <w:p>
            <w:pPr>
              <w:pStyle w:val="Normal"/>
              <w:widowControl w:val="false"/>
              <w:suppressAutoHyphens w:val="true"/>
              <w:spacing w:before="0" w:after="0"/>
              <w:jc w:val="both"/>
              <w:rPr>
                <w:b/>
                <w:bCs/>
              </w:rPr>
            </w:pPr>
            <w:r>
              <w:rPr>
                <w:rFonts w:eastAsia="Times New Roman" w:cs="Times New Roman"/>
                <w:b/>
                <w:bCs/>
                <w:kern w:val="0"/>
                <w:sz w:val="24"/>
                <w:szCs w:val="24"/>
                <w:lang w:val="ru-RU" w:eastAsia="ru-RU" w:bidi="ar-SA"/>
              </w:rPr>
              <w:t>1</w:t>
            </w:r>
          </w:p>
        </w:tc>
        <w:tc>
          <w:tcPr>
            <w:tcW w:w="9195" w:type="dxa"/>
            <w:gridSpan w:val="2"/>
            <w:tcBorders/>
            <w:vAlign w:val="center"/>
          </w:tcPr>
          <w:p>
            <w:pPr>
              <w:pStyle w:val="Normal"/>
              <w:widowControl w:val="false"/>
              <w:suppressAutoHyphens w:val="true"/>
              <w:spacing w:before="0" w:after="0"/>
              <w:jc w:val="both"/>
              <w:rPr>
                <w:b/>
                <w:bCs/>
                <w:sz w:val="24"/>
                <w:szCs w:val="24"/>
              </w:rPr>
            </w:pPr>
            <w:r>
              <w:rPr>
                <w:b/>
                <w:bCs/>
                <w:sz w:val="24"/>
                <w:szCs w:val="24"/>
              </w:rPr>
              <w:t>Требования к техническим и функциональным характеристикам (включая гарантируемые показатели)</w:t>
            </w:r>
          </w:p>
        </w:tc>
      </w:tr>
      <w:tr>
        <w:trPr>
          <w:trHeight w:val="293" w:hRule="atLeast"/>
        </w:trPr>
        <w:tc>
          <w:tcPr>
            <w:tcW w:w="840" w:type="dxa"/>
            <w:tcBorders/>
            <w:vAlign w:val="center"/>
          </w:tcPr>
          <w:p>
            <w:pPr>
              <w:pStyle w:val="Normal"/>
              <w:widowControl w:val="false"/>
              <w:suppressAutoHyphens w:val="true"/>
              <w:spacing w:before="0" w:after="200"/>
              <w:jc w:val="center"/>
              <w:rPr>
                <w:sz w:val="24"/>
                <w:szCs w:val="24"/>
              </w:rPr>
            </w:pPr>
            <w:r>
              <w:rPr>
                <w:sz w:val="24"/>
                <w:szCs w:val="24"/>
              </w:rPr>
              <w:t>1.1.</w:t>
            </w:r>
          </w:p>
        </w:tc>
        <w:tc>
          <w:tcPr>
            <w:tcW w:w="4479" w:type="dxa"/>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Назначение</w:t>
            </w:r>
          </w:p>
        </w:tc>
        <w:tc>
          <w:tcPr>
            <w:tcW w:w="4716" w:type="dxa"/>
            <w:tcBorders/>
            <w:shd w:color="auto" w:fill="auto" w:val="clear"/>
          </w:tcPr>
          <w:p>
            <w:pPr>
              <w:pStyle w:val="Normal"/>
              <w:widowControl w:val="false"/>
              <w:tabs>
                <w:tab w:val="clear" w:pos="708"/>
                <w:tab w:val="left" w:pos="993" w:leader="none"/>
              </w:tabs>
              <w:spacing w:lineRule="auto" w:line="240" w:before="0" w:after="0"/>
              <w:ind w:left="0" w:right="0" w:hanging="15"/>
              <w:contextualSpacing/>
              <w:rPr/>
            </w:pPr>
            <w:r>
              <w:rPr>
                <w:rFonts w:eastAsia="Times New Roman" w:cs="Times New Roman"/>
                <w:b w:val="false"/>
                <w:i w:val="false"/>
                <w:caps w:val="false"/>
                <w:smallCaps w:val="false"/>
                <w:color w:val="404040"/>
                <w:spacing w:val="0"/>
                <w:sz w:val="24"/>
                <w:szCs w:val="24"/>
                <w:lang w:eastAsia="ru-RU"/>
              </w:rPr>
              <w:t>Измерение количества элегаза в баллоне</w:t>
            </w:r>
            <w:r>
              <w:rPr>
                <w:rFonts w:eastAsia="Times New Roman" w:cs="Times New Roman"/>
                <w:sz w:val="24"/>
                <w:szCs w:val="24"/>
                <w:lang w:eastAsia="ru-RU"/>
              </w:rPr>
              <w:t xml:space="preserve"> при проведении ремонтных работ на электрооборудовании</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1.2.</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Пределы измерений массы,  кг не хуже</w:t>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sz w:val="24"/>
                <w:szCs w:val="24"/>
              </w:rPr>
              <w:t>0-150</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1.3.</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 xml:space="preserve">Шаг измерений, кг не хуже </w:t>
            </w:r>
          </w:p>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sz w:val="24"/>
                <w:szCs w:val="24"/>
              </w:rPr>
              <w:t>0,05</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1.4.</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Точность, г не хуже  г</w:t>
            </w:r>
          </w:p>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sz w:val="24"/>
                <w:szCs w:val="24"/>
              </w:rPr>
              <w:t>± 50</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1.5.</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 xml:space="preserve">Класс защиты: </w:t>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sz w:val="24"/>
                <w:szCs w:val="24"/>
              </w:rPr>
              <w:t>IP65</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sz w:val="24"/>
                <w:szCs w:val="24"/>
              </w:rPr>
              <w:t>1.6.</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 xml:space="preserve">Рабочая температура: </w:t>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sz w:val="24"/>
                <w:szCs w:val="24"/>
              </w:rPr>
              <w:t>-10 ... +40°C</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sz w:val="24"/>
                <w:szCs w:val="24"/>
              </w:rPr>
              <w:t>1.7.</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sz w:val="24"/>
                <w:szCs w:val="24"/>
              </w:rPr>
              <w:t xml:space="preserve">Габаритные размеры (в эксплуатации), не более мм </w:t>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sz w:val="24"/>
                <w:szCs w:val="24"/>
              </w:rPr>
              <w:t>450×500×850 мм</w:t>
            </w:r>
          </w:p>
        </w:tc>
      </w:tr>
      <w:tr>
        <w:trPr/>
        <w:tc>
          <w:tcPr>
            <w:tcW w:w="840" w:type="dxa"/>
            <w:tcBorders>
              <w:top w:val="nil"/>
            </w:tcBorders>
            <w:vAlign w:val="center"/>
          </w:tcPr>
          <w:p>
            <w:pPr>
              <w:pStyle w:val="Normal"/>
              <w:widowControl w:val="false"/>
              <w:suppressAutoHyphens w:val="true"/>
              <w:spacing w:before="0" w:after="200"/>
              <w:jc w:val="center"/>
              <w:rPr>
                <w:sz w:val="24"/>
                <w:szCs w:val="24"/>
              </w:rPr>
            </w:pPr>
            <w:r>
              <w:rPr>
                <w:sz w:val="24"/>
                <w:szCs w:val="24"/>
              </w:rPr>
              <w:t>1.8.</w:t>
            </w:r>
          </w:p>
        </w:tc>
        <w:tc>
          <w:tcPr>
            <w:tcW w:w="4479"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rPr>
                <w:rFonts w:ascii="Times New Roman" w:hAnsi="Times New Roman" w:eastAsia="Calibri" w:cs="Times New Roman"/>
                <w:color w:val="auto"/>
                <w:sz w:val="24"/>
                <w:szCs w:val="24"/>
                <w:lang w:val="ru-RU" w:eastAsia="zh-CN" w:bidi="ar-SA"/>
              </w:rPr>
            </w:pPr>
            <w:r>
              <w:rPr>
                <w:rFonts w:eastAsia="Calibri" w:cs="Times New Roman"/>
                <w:color w:val="auto"/>
                <w:sz w:val="24"/>
                <w:szCs w:val="24"/>
                <w:lang w:val="ru-RU" w:eastAsia="zh-CN" w:bidi="ar-SA"/>
              </w:rPr>
              <w:t>Масса, кг не более</w:t>
            </w:r>
          </w:p>
        </w:tc>
        <w:tc>
          <w:tcPr>
            <w:tcW w:w="4716" w:type="dxa"/>
            <w:tcBorders>
              <w:top w:val="nil"/>
            </w:tcBorders>
            <w:shd w:color="auto" w:fill="auto" w:val="clear"/>
          </w:tcPr>
          <w:p>
            <w:pPr>
              <w:pStyle w:val="Normal"/>
              <w:widowControl w:val="false"/>
              <w:tabs>
                <w:tab w:val="clear" w:pos="708"/>
                <w:tab w:val="left" w:pos="993" w:leader="none"/>
              </w:tabs>
              <w:spacing w:lineRule="auto" w:line="240" w:before="0" w:after="0"/>
              <w:ind w:left="0" w:right="0" w:hanging="15"/>
              <w:contextualSpacing/>
              <w:jc w:val="center"/>
              <w:rPr>
                <w:rFonts w:ascii="Times New Roman" w:hAnsi="Times New Roman" w:eastAsia="Calibri" w:cs="Times New Roman"/>
                <w:color w:val="auto"/>
                <w:sz w:val="24"/>
                <w:szCs w:val="24"/>
                <w:lang w:val="ru-RU" w:eastAsia="zh-CN" w:bidi="ar-SA"/>
              </w:rPr>
            </w:pPr>
            <w:r>
              <w:rPr>
                <w:rFonts w:eastAsia="Calibri" w:cs="Times New Roman"/>
                <w:color w:val="auto"/>
                <w:sz w:val="24"/>
                <w:szCs w:val="24"/>
                <w:lang w:val="ru-RU" w:eastAsia="zh-CN" w:bidi="ar-SA"/>
              </w:rPr>
              <w:t>20</w:t>
            </w:r>
          </w:p>
        </w:tc>
      </w:tr>
      <w:tr>
        <w:trPr/>
        <w:tc>
          <w:tcPr>
            <w:tcW w:w="840" w:type="dxa"/>
            <w:tcBorders>
              <w:top w:val="nil"/>
            </w:tcBorders>
            <w:vAlign w:val="center"/>
          </w:tcPr>
          <w:p>
            <w:pPr>
              <w:pStyle w:val="ListParagraph"/>
              <w:widowControl w:val="false"/>
              <w:suppressAutoHyphens w:val="true"/>
              <w:spacing w:before="60" w:after="60"/>
              <w:ind w:left="-117" w:hanging="0"/>
              <w:contextualSpacing/>
              <w:jc w:val="center"/>
              <w:rPr>
                <w:b/>
                <w:bCs/>
              </w:rPr>
            </w:pPr>
            <w:r>
              <w:rPr>
                <w:rFonts w:cs="Times New Roman"/>
                <w:b/>
                <w:bCs/>
                <w:kern w:val="0"/>
                <w:lang w:val="ru-RU" w:eastAsia="ru-RU" w:bidi="ar-SA"/>
              </w:rPr>
              <w:t>2.</w:t>
            </w:r>
          </w:p>
        </w:tc>
        <w:tc>
          <w:tcPr>
            <w:tcW w:w="9195"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40"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2.1</w:t>
            </w:r>
          </w:p>
        </w:tc>
        <w:tc>
          <w:tcPr>
            <w:tcW w:w="9195" w:type="dxa"/>
            <w:gridSpan w:val="2"/>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Поставщик обязан установить на продукцию гарантийный срок 24 (Двадцать четыре)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Установленный в отношении Продукции Гарантийный срок распространяется на все составные части и комплектующие Продукции.</w:t>
            </w:r>
          </w:p>
        </w:tc>
      </w:tr>
      <w:tr>
        <w:trPr/>
        <w:tc>
          <w:tcPr>
            <w:tcW w:w="840"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3</w:t>
            </w:r>
            <w:r>
              <w:rPr>
                <w:rFonts w:cs="Times New Roman"/>
                <w:b/>
                <w:bCs/>
                <w:kern w:val="0"/>
                <w:lang w:val="en-US" w:eastAsia="ru-RU" w:bidi="ar-SA"/>
              </w:rPr>
              <w:t>.</w:t>
            </w:r>
          </w:p>
        </w:tc>
        <w:tc>
          <w:tcPr>
            <w:tcW w:w="9195"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40"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lang w:val="en-US"/>
              </w:rPr>
              <w:t>3.1</w:t>
            </w:r>
          </w:p>
        </w:tc>
        <w:tc>
          <w:tcPr>
            <w:tcW w:w="9195" w:type="dxa"/>
            <w:gridSpan w:val="2"/>
            <w:tcBorders>
              <w:top w:val="nil"/>
            </w:tcBorders>
            <w:shd w:color="auto" w:fill="auto" w:val="clear"/>
          </w:tcPr>
          <w:p>
            <w:pPr>
              <w:pStyle w:val="Normal"/>
              <w:widowControl w:val="false"/>
              <w:suppressAutoHyphens w:val="true"/>
              <w:spacing w:lineRule="auto" w:line="240" w:before="0" w:after="200"/>
              <w:jc w:val="left"/>
              <w:rPr/>
            </w:pPr>
            <w:r>
              <w:rPr>
                <w:sz w:val="24"/>
                <w:szCs w:val="24"/>
              </w:rPr>
              <w:t>Упаковка 3-948-R013</w:t>
            </w:r>
          </w:p>
          <w:p>
            <w:pPr>
              <w:pStyle w:val="Normal"/>
              <w:widowControl w:val="false"/>
              <w:suppressAutoHyphens w:val="true"/>
              <w:spacing w:lineRule="auto" w:line="240" w:before="0" w:after="200"/>
              <w:jc w:val="left"/>
              <w:rPr/>
            </w:pPr>
            <w:r>
              <w:rPr>
                <w:sz w:val="24"/>
                <w:szCs w:val="24"/>
              </w:rPr>
              <w:t>Зарядное устройство для 4 аккумуляторных батарей K091R21</w:t>
            </w:r>
          </w:p>
          <w:p>
            <w:pPr>
              <w:pStyle w:val="Normal"/>
              <w:widowControl w:val="false"/>
              <w:suppressAutoHyphens w:val="true"/>
              <w:spacing w:lineRule="auto" w:line="240" w:before="0" w:after="200"/>
              <w:jc w:val="left"/>
              <w:rPr/>
            </w:pPr>
            <w:r>
              <w:rPr>
                <w:sz w:val="24"/>
                <w:szCs w:val="24"/>
              </w:rPr>
              <w:t>Вилка 100-240 В / 50-60 Гц с кабелем длиной 2м K091R22</w:t>
            </w:r>
          </w:p>
          <w:p>
            <w:pPr>
              <w:pStyle w:val="Normal"/>
              <w:widowControl w:val="false"/>
              <w:suppressAutoHyphens w:val="true"/>
              <w:spacing w:lineRule="auto" w:line="240" w:before="0" w:after="200"/>
              <w:jc w:val="left"/>
              <w:rPr/>
            </w:pPr>
            <w:r>
              <w:rPr>
                <w:sz w:val="24"/>
                <w:szCs w:val="24"/>
              </w:rPr>
              <w:t>Подставка для весов (для установки под сервисную тележку) K091R31</w:t>
            </w:r>
          </w:p>
        </w:tc>
      </w:tr>
      <w:tr>
        <w:trPr/>
        <w:tc>
          <w:tcPr>
            <w:tcW w:w="840"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3.2</w:t>
            </w:r>
          </w:p>
        </w:tc>
        <w:tc>
          <w:tcPr>
            <w:tcW w:w="9195" w:type="dxa"/>
            <w:gridSpan w:val="2"/>
            <w:tcBorders>
              <w:top w:val="nil"/>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Сертификат качества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Технический паспорт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Инструкция по эксплуатации (монтажу и т.п.)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Упаковочный лист на Продукцию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Обязательные первичные документы:</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Товарную накладную по форме ТОРГ-12 или Универсальный передаточный документ (УПД) в 2 экз.</w:t>
            </w:r>
          </w:p>
        </w:tc>
      </w:tr>
      <w:tr>
        <w:trPr/>
        <w:tc>
          <w:tcPr>
            <w:tcW w:w="840"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4</w:t>
            </w:r>
            <w:r>
              <w:rPr>
                <w:rFonts w:eastAsia="Times New Roman" w:cs="Times New Roman"/>
                <w:b/>
                <w:bCs/>
                <w:kern w:val="0"/>
                <w:sz w:val="24"/>
                <w:szCs w:val="24"/>
                <w:lang w:val="en-US" w:eastAsia="x-none" w:bidi="ar-SA"/>
              </w:rPr>
              <w:t>.</w:t>
            </w:r>
          </w:p>
        </w:tc>
        <w:tc>
          <w:tcPr>
            <w:tcW w:w="9195"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40"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4.1</w:t>
            </w:r>
          </w:p>
        </w:tc>
        <w:tc>
          <w:tcPr>
            <w:tcW w:w="9195"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40"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4.2</w:t>
            </w:r>
          </w:p>
        </w:tc>
        <w:tc>
          <w:tcPr>
            <w:tcW w:w="9195"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40"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4.3</w:t>
            </w:r>
          </w:p>
        </w:tc>
        <w:tc>
          <w:tcPr>
            <w:tcW w:w="9195"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40"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5</w:t>
            </w:r>
            <w:r>
              <w:rPr>
                <w:rFonts w:eastAsia="Times New Roman" w:cs="Times New Roman"/>
                <w:b/>
                <w:bCs/>
                <w:kern w:val="0"/>
                <w:sz w:val="24"/>
                <w:szCs w:val="24"/>
                <w:lang w:val="en-US" w:eastAsia="x-none" w:bidi="ar-SA"/>
              </w:rPr>
              <w:t>.</w:t>
            </w:r>
          </w:p>
        </w:tc>
        <w:tc>
          <w:tcPr>
            <w:tcW w:w="9195"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40"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5.1</w:t>
            </w:r>
          </w:p>
        </w:tc>
        <w:tc>
          <w:tcPr>
            <w:tcW w:w="9195"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Application>AlterOffice/3.4.0.9$Linux_X86_64 LibreOffice_project/b8daf9e823b1a5463a2f48435ddc2e8696e7d4fc</Application>
  <AppVersion>15.0000</AppVersion>
  <DocSecurity>4</DocSecurity>
  <Pages>4</Pages>
  <Words>647</Words>
  <Characters>4261</Characters>
  <CharactersWithSpaces>4838</CharactersWithSpaces>
  <Paragraphs>115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korolevkv@corp.gidroogk.com</cp:lastModifiedBy>
  <cp:lastPrinted>2025-07-01T13:51:25Z</cp:lastPrinted>
  <dcterms:modified xsi:type="dcterms:W3CDTF">2026-06-30T08:40:10Z</dcterms:modified>
  <cp:revision>42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