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Times New Roman"/>
          <w:color w:val="auto"/>
          <w:kern w:val="0"/>
          <w:sz w:val="26"/>
          <w:szCs w:val="26"/>
          <w:lang w:val="ru-RU" w:eastAsia="ru-RU" w:bidi="ar-SA"/>
        </w:rPr>
        <w:t xml:space="preserve">«ОКПД2  45.20.14.000. Услуги по покраске элементов автомобилей для нужд </w:t>
      </w:r>
      <w:r>
        <w:rPr>
          <w:rFonts w:eastAsia="Calibri" w:cs="Times New Roman"/>
          <w:i w:val="false"/>
          <w:iCs w:val="false"/>
          <w:color w:val="auto"/>
          <w:kern w:val="0"/>
          <w:sz w:val="24"/>
          <w:szCs w:val="24"/>
          <w:lang w:val="ru-RU" w:eastAsia="x-none" w:bidi="ar-SA"/>
        </w:rPr>
        <w:t xml:space="preserve"> Красноярского представительства Саяно-Шушенского филиала АО «ТК 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eastAsia="Calibri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6"/>
          <w:szCs w:val="26"/>
          <w:lang w:val="ru-RU" w:eastAsia="ru-RU" w:bidi="ar-SA"/>
        </w:rPr>
        <w:t>Лот №</w:t>
      </w:r>
      <w:r>
        <w:rPr>
          <w:rFonts w:eastAsia="Calibri" w:cs="Times New Roman"/>
          <w:color w:val="auto"/>
          <w:kern w:val="0"/>
          <w:sz w:val="26"/>
          <w:szCs w:val="26"/>
          <w:lang w:val="ru-RU" w:eastAsia="ru-RU" w:bidi="ar-SA"/>
        </w:rPr>
        <w:t>4113-ЭКСП ПРОД-2026-ТК-СШФ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Существующее положение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Иные требования и сведения общего характера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8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5464369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left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«ОКПД2  45.20.14.000. Услуги по покраске элементов автомобилей для нужд Красноярского представительства Саяно-Шушенского филиала АО «ТК РусГидро».</w:t>
      </w:r>
      <w:r>
        <w:rPr>
          <w:rFonts w:eastAsia="Calibri"/>
          <w:i w:val="false"/>
          <w:iCs w:val="false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 xml:space="preserve"> 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Поддержание надлежащего технического состояния транспортных средств, исполнения обязательств доходного договора оказания транспортных услуг, заключенного с Филиалом ПАО «РусГидро»</w:t>
      </w:r>
      <w:r>
        <w:rPr>
          <w:rStyle w:val="Style8"/>
          <w:rFonts w:eastAsia="Times New Roman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ИА № 1010-884-2025 от 25.08.2025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rFonts w:ascii="Times New Roman" w:hAnsi="Times New Roman" w:eastAsia="Times New Roman" w:cs="Times New Roman"/>
          <w:b w:val="false"/>
          <w:bCs/>
          <w:i w:val="false"/>
          <w:i w:val="false"/>
          <w:iCs w:val="false"/>
          <w:color w:val="auto"/>
          <w:kern w:val="0"/>
          <w:sz w:val="24"/>
          <w:szCs w:val="24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104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4"/>
        <w:gridCol w:w="2610"/>
        <w:gridCol w:w="1921"/>
        <w:gridCol w:w="3630"/>
        <w:gridCol w:w="1590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основных средств</w:t>
              <w:br/>
              <w:t>(в отношении которых оказываются услуги)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Fonts w:eastAsia="Calibri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x-none" w:bidi="ar-SA"/>
              </w:rPr>
              <w:t>«ОКПД2 45.20.14.000. Услуги по покраске элементов автомобилей для нужд Красноярского представительства Саяно-Шушенского филиала АО «ТК РусГидро»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РФ, г. Красноярск, ул. Перинсона, 2А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Ford Tourneo Custom, </w:t>
            </w:r>
            <w:r>
              <w:rPr>
                <w:iCs/>
                <w:sz w:val="24"/>
                <w:szCs w:val="24"/>
                <w:shd w:fill="FFFFFF" w:val="clear"/>
              </w:rPr>
              <w:t>2018г.вып,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iCs/>
                <w:sz w:val="24"/>
                <w:szCs w:val="24"/>
                <w:shd w:fill="FFFFFF" w:val="clear"/>
              </w:rPr>
              <w:t>TOYOTA CAMRY, 2018г.вып.,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iCs/>
                <w:sz w:val="24"/>
                <w:szCs w:val="24"/>
                <w:shd w:fill="FFFFFF" w:val="clear"/>
              </w:rPr>
              <w:t>TOYOTA CAMRY, 2019г.вып.-2ед,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iCs/>
                <w:sz w:val="24"/>
                <w:szCs w:val="24"/>
                <w:shd w:fill="FFFFFF" w:val="clear"/>
              </w:rPr>
              <w:t>TOYOTA CAMRY, 2020г.вып.- 4 ед.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rStyle w:val="Style8"/>
          <w:b w:val="false"/>
          <w:iCs/>
          <w:lang w:val="ru-RU"/>
        </w:rPr>
      </w:pPr>
      <w:r>
        <w:rPr>
          <w:b w:val="false"/>
          <w:iCs/>
          <w:lang w:val="ru-RU"/>
        </w:rPr>
      </w:r>
      <w:bookmarkStart w:id="8" w:name="_Hlk48209761"/>
      <w:bookmarkStart w:id="9" w:name="_Hlk48209761"/>
      <w:bookmarkEnd w:id="9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51339693"/>
      <w:bookmarkStart w:id="11" w:name="_Toc54643702"/>
      <w:bookmarkStart w:id="12" w:name="_Toc50125126"/>
      <w:bookmarkStart w:id="13" w:name="_Hlk48209761_Копия_1"/>
      <w:bookmarkEnd w:id="12"/>
      <w:bookmarkEnd w:id="1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54643704"/>
      <w:r>
        <w:rPr>
          <w:lang w:val="ru-RU"/>
        </w:rPr>
        <w:t>Требования к перечню и объему услуг</w:t>
      </w:r>
      <w:bookmarkEnd w:id="1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54643705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оказываемых услуг</w:t>
      </w:r>
      <w:bookmarkEnd w:id="16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4"/>
        <w:gridCol w:w="2117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2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(604) 2020г.вып.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(сколы)-покраска;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(ржавчина) ремонт,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4.Левая передняя дверь, вмятина, (рихтовка , шпаклевка, покраска);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Полировка всего кузова;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 xml:space="preserve"> </w:t>
            </w:r>
            <w:hyperlink r:id="rId3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(193) 2019г.вып.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(сколы)-покраска;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(ржавчина) ремонт,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4. Полировка всего кузова;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4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(967) 2020г.вып.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2.Правая задняя арка (ржавчина), облазит 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3. Полировка всего кузова;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5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(227) 2019г.вып.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задний (царапины)-покраска;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(ржавчина),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Полировка всего кузова;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5. Крыло переднее правое (вмятина);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5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6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(725) 2019г.вып.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(сколы)-покраска;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(ржавчина) ремонт,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4.Левая  сторона кузова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5.Правая  сторона кузова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6. Покраска всего кузова;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6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7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(585) 2018г.вып.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ржавая,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4.Полировка всего кузова;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7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8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(839) 2020г.вып.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2.Крыша передняя часть ржавая, сколы,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3.Полировка всего кузова;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Ford Tourneo Custom (153) 2018 г.вып.</w:t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1.Капот, сколы, покраска;</w:t>
            </w:r>
          </w:p>
          <w:p>
            <w:pPr>
              <w:pStyle w:val="Style34"/>
              <w:widowControl w:val="false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2.Бампер передний сколы, покраска;</w:t>
            </w:r>
          </w:p>
          <w:p>
            <w:pPr>
              <w:pStyle w:val="Style34"/>
              <w:widowControl w:val="false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3.Левая передняя дверь (царапины, вмятины) ремонт , покраска;</w:t>
            </w:r>
          </w:p>
          <w:p>
            <w:pPr>
              <w:pStyle w:val="Style34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4.Задняя левая дверь (вмятины), ремонт, покраска;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8" w:name="_Toc54643706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оказания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7"/>
      <w:bookmarkStart w:id="21" w:name="_Toc51339697"/>
      <w:bookmarkStart w:id="22" w:name="_Toc50125127"/>
      <w:bookmarkStart w:id="23" w:name="_Toc50125126_Копия_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оказания услуг</w:t>
      </w:r>
      <w:bookmarkEnd w:id="20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4016"/>
        <w:gridCol w:w="2325"/>
        <w:gridCol w:w="2305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hyperlink r:id="rId9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(604) 2020г.вып.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(сколы)-покраска;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(ржавчина) ремонт,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4.Левая передняя дверь, вмятина, (рихтовка , шпаклевка, покраска);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Полировка всего кузова;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договора, по заявке.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заявке в течении 5 календарных дней., по 31.12.2026г.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 xml:space="preserve"> </w:t>
            </w:r>
            <w:hyperlink r:id="rId10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(193) 2019г.вып.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(сколы)-покраска;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(ржавчина) ремонт,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4. Полировка всего кузова;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hyperlink r:id="rId11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(967) 2020г.вып.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2.Правая задняя арка (ржавчина), облазит 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3. Полировка всего кузова;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hyperlink r:id="rId12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(227) 2019г.вып.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задний (царапины)-покраска;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(ржавчина),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Полировка всего кузова;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5. Крыло переднее правое (вмятина);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hyperlink r:id="rId13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(725) 2019г.вып.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(сколы)-покраска;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 )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(ржавчина) ремонт,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4.Левая  сторона кузова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5.Правая  сторона кузова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6. Покраска всего кузова;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hyperlink r:id="rId14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(585) 2018г.вып.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2.Капот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3.Крыша ржавая,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4.Полировка всего кузова;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hyperlink r:id="rId15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olor w:val="000000"/>
                  <w:spacing w:val="-10"/>
                  <w:kern w:val="0"/>
                  <w:sz w:val="24"/>
                  <w:szCs w:val="24"/>
                  <w:u w:val="none"/>
                  <w:shd w:fill="auto" w:val="clear"/>
                  <w:lang w:val="ru-RU" w:eastAsia="ru-RU" w:bidi="ar-SA"/>
                </w:rPr>
                <w:t>TOYOTA CAMRY</w:t>
              </w:r>
            </w:hyperlink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 (839) 2020г.вып.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1.Бампер передний (сколы);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2.Крыша передняя часть ржавая, сколы, покраска;</w:t>
            </w:r>
          </w:p>
          <w:p>
            <w:pPr>
              <w:pStyle w:val="Style34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3.Полировка всего кузова;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Ford Tourneo Custom (153) 2018 г.вып.</w:t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1.Капот, сколы, покраска;</w:t>
            </w:r>
          </w:p>
          <w:p>
            <w:pPr>
              <w:pStyle w:val="Style34"/>
              <w:widowControl w:val="false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2.Бампер передний сколы, покраска;</w:t>
            </w:r>
          </w:p>
          <w:p>
            <w:pPr>
              <w:pStyle w:val="Style34"/>
              <w:widowControl w:val="false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3.Левая передняя дверь (царапины, вмятины) ремонт , покраска;</w:t>
            </w:r>
          </w:p>
          <w:p>
            <w:pPr>
              <w:pStyle w:val="Style34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4.Задняя левая дверь (вмятины), ремонт, покраска;</w:t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16"/>
          <w:headerReference w:type="default" r:id="rId17"/>
          <w:headerReference w:type="first" r:id="rId1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4643709"/>
      <w:bookmarkStart w:id="26" w:name="_Toc51339698"/>
      <w:bookmarkStart w:id="27" w:name="_Toc54643708"/>
      <w:bookmarkStart w:id="28" w:name="_Toc46743511"/>
      <w:r>
        <w:rPr/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6"/>
      <w:r>
        <w:rPr>
          <w:sz w:val="24"/>
          <w:szCs w:val="24"/>
          <w:lang w:val="ru-RU"/>
        </w:rPr>
        <w:t>качеству услуг</w:t>
      </w:r>
      <w:bookmarkEnd w:id="25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1-8</w:t>
      </w:r>
      <w:r>
        <w:rPr>
          <w:b/>
          <w:bCs/>
          <w:sz w:val="24"/>
          <w:szCs w:val="24"/>
        </w:rPr>
        <w:t>Таблицы 2):</w:t>
      </w:r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>«ОКПД2  45.20.14.000. Услуги по покраске элементов автомобилей для нужд Красноярского представительства Саяно-Шушенского филиала АО «ТК РусГидро».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567"/>
        <w:gridCol w:w="2836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должен обеспечивать сохранность автотранспорта и его комплектации при оказании Услуг.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Перед окраской автомобиля Исполнитель обязан произвести предварительную подготовку к окраске. Для подготовки к окраске автомобиля использовать бластинговый метод очистки поверхности кузова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1.2.1</w:t>
            </w:r>
          </w:p>
        </w:tc>
        <w:tc>
          <w:tcPr>
            <w:tcW w:w="2834" w:type="dxa"/>
            <w:gridSpan w:val="2"/>
            <w:tcBorders>
              <w:top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качеству используемых материалов</w:t>
            </w:r>
          </w:p>
        </w:tc>
        <w:tc>
          <w:tcPr>
            <w:tcW w:w="2836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before="0" w:after="0"/>
              <w:ind w:left="0" w:firstLine="360"/>
              <w:contextualSpacing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Автоэмаль для окраски автомобилей должна отвечать стандартам безопасности и качества в соответствии с требованиями действующего законодательства РФ для данного вида товаров.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before="0" w:after="0"/>
              <w:ind w:left="37" w:firstLine="32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Материалы и колер должны соответствовать лакокрасочному покрытию, нанесенному на автомобиль заводом изготовителем.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Style w:val="Style8"/>
                <w:b w:val="false"/>
                <w:iCs/>
              </w:rPr>
            </w:pPr>
            <w:r>
              <w:rPr>
                <w:bCs/>
              </w:rPr>
              <w:t xml:space="preserve">Транспортное средства, прошедшие </w:t>
            </w:r>
            <w:r>
              <w:rPr>
                <w:bCs/>
                <w:lang w:eastAsia="x-none"/>
              </w:rPr>
              <w:t>ремонт</w:t>
            </w:r>
            <w:r>
              <w:rPr>
                <w:bCs/>
              </w:rPr>
              <w:t xml:space="preserve">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эксплуатации автомобиля после покраски - не менее 180 дней или 20 000 км пробега, что наступит раньше с момента ввода в эксплуатацию при соблюдении Заказчиком требований по техническому обслуживанию, ремонту и эксплуатации.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выявления в гарантийный период дефектов покраски, возникших по вине Исполнителя, гарантийный срок эксплуатации продлевается на время простоя автомобиля в связи с устранением дефекта.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несёт все расходы, возникающие при производстве гарантийного ремонта, включая доставку автомобиля к месту ремонта и возврат к месту эксплуатации.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/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 xml:space="preserve">Участник должен иметь не менее одной собственной (либо в аренде) производственной базы для оказания </w:t>
            </w:r>
            <w:r>
              <w:rPr>
                <w:rFonts w:eastAsia="Calibri"/>
                <w:b w:val="false"/>
                <w:bCs w:val="false"/>
                <w:color w:val="302709"/>
                <w:sz w:val="24"/>
                <w:szCs w:val="24"/>
                <w:u w:val="single"/>
                <w:lang w:eastAsia="x-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302709"/>
                <w:sz w:val="24"/>
                <w:szCs w:val="24"/>
                <w:u w:val="none"/>
                <w:lang w:eastAsia="x-none"/>
              </w:rPr>
              <w:t xml:space="preserve">услуг </w:t>
            </w:r>
            <w:r>
              <w:rPr>
                <w:rStyle w:val="Hyperlink"/>
                <w:rFonts w:eastAsia="Calibri"/>
                <w:b w:val="false"/>
                <w:bCs w:val="false"/>
                <w:color w:val="000000"/>
                <w:sz w:val="24"/>
                <w:szCs w:val="24"/>
                <w:u w:val="none"/>
                <w:lang w:eastAsia="x-none"/>
              </w:rPr>
              <w:t xml:space="preserve">по покраске элементов автомобилей, </w:t>
            </w:r>
            <w:r>
              <w:rPr>
                <w:rStyle w:val="Hyperlink"/>
                <w:rFonts w:eastAsia="Calibri"/>
                <w:b w:val="false"/>
                <w:bCs w:val="false"/>
                <w:color w:val="auto"/>
                <w:spacing w:val="-10"/>
                <w:sz w:val="24"/>
                <w:szCs w:val="24"/>
                <w:u w:val="none"/>
                <w:lang w:eastAsia="x-none"/>
              </w:rPr>
              <w:t>в городе Красноярске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Договор аренды или свидетельство о праве собственности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19"/>
          <w:headerReference w:type="first" r:id="rId20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0" w:name="_Toc54643711"/>
      <w:bookmarkStart w:id="31" w:name="_Toc54281228"/>
      <w:bookmarkStart w:id="32" w:name="_Toc46743519"/>
      <w:bookmarkStart w:id="33" w:name="_Toc51339699"/>
      <w:bookmarkEnd w:id="32"/>
      <w:bookmarkEnd w:id="33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0"/>
      <w:bookmarkEnd w:id="31"/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2"/>
        </w:rPr>
        <w:t>3.1.</w:t>
      </w:r>
      <w:r>
        <w:rPr>
          <w:b w:val="false"/>
          <w:bCs w:val="false"/>
          <w:i w:val="false"/>
          <w:iCs w:val="false"/>
          <w:caps w:val="false"/>
          <w:smallCaps w:val="false"/>
          <w:sz w:val="24"/>
          <w:szCs w:val="22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2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4" w:name="_Hlk88325985"/>
      <w:bookmarkEnd w:id="34"/>
      <w:r>
        <w:rPr>
          <w:b w:val="false"/>
          <w:bCs w:val="false"/>
          <w:i w:val="false"/>
          <w:iCs w:val="false"/>
          <w:sz w:val="24"/>
          <w:szCs w:val="22"/>
        </w:rPr>
        <w:t>(с учетом прилагаемой к ней инструкции по заполнению), приведенной в Документации о закупке.</w:t>
      </w:r>
    </w:p>
    <w:p>
      <w:pPr>
        <w:pStyle w:val="BodyText"/>
        <w:widowControl/>
        <w:suppressAutoHyphens w:val="true"/>
        <w:bidi w:val="0"/>
        <w:spacing w:before="0" w:after="120"/>
        <w:ind w:left="0" w:right="0" w:hanging="0"/>
        <w:jc w:val="left"/>
        <w:rPr>
          <w:b w:val="false"/>
          <w:bCs w:val="false"/>
          <w:i w:val="false"/>
          <w:i w:val="false"/>
          <w:iCs w:val="false"/>
        </w:rPr>
      </w:pPr>
      <w:bookmarkStart w:id="35" w:name="_Hlk88327292"/>
      <w:bookmarkEnd w:id="35"/>
      <w:r>
        <w:rPr>
          <w:b w:val="false"/>
          <w:bCs w:val="false"/>
          <w:i w:val="false"/>
          <w:iCs w:val="false"/>
          <w:sz w:val="24"/>
          <w:szCs w:val="24"/>
        </w:rPr>
        <w:t>3.2.</w:t>
      </w:r>
      <w:r>
        <w:rPr>
          <w:b w:val="false"/>
          <w:bCs w:val="false"/>
          <w:i w:val="false"/>
          <w:iCs w:val="false"/>
          <w:caps w:val="false"/>
          <w:smallCaps w:val="false"/>
        </w:rPr>
        <w:t xml:space="preserve"> </w:t>
      </w:r>
      <w:r>
        <w:rPr>
          <w:b w:val="false"/>
          <w:bCs w:val="false"/>
          <w:i w:val="false"/>
          <w:iCs w:val="false"/>
          <w:sz w:val="24"/>
        </w:rPr>
        <w:t>Дополнительные документы по ценообразованию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 w:val="false"/>
          <w:bCs w:val="false"/>
          <w:i w:val="false"/>
          <w:iCs w:val="false"/>
          <w:sz w:val="24"/>
        </w:rPr>
        <w:t>в состав заявки не включаются.</w:t>
      </w:r>
    </w:p>
    <w:p>
      <w:pPr>
        <w:pStyle w:val="NoSpacing"/>
        <w:jc w:val="both"/>
        <w:rPr>
          <w:szCs w:val="22"/>
        </w:rPr>
      </w:pPr>
      <w:r>
        <w:rPr>
          <w:szCs w:val="22"/>
        </w:rPr>
      </w:r>
      <w:bookmarkStart w:id="36" w:name="_Toc51339699_Копия_1"/>
      <w:bookmarkStart w:id="37" w:name="_Toc46743519_Копия_1"/>
      <w:bookmarkStart w:id="38" w:name="_Toc51339699_Копия_1"/>
      <w:bookmarkStart w:id="39" w:name="_Toc46743519_Копия_1"/>
      <w:bookmarkEnd w:id="38"/>
      <w:bookmarkEnd w:id="39"/>
    </w:p>
    <w:p>
      <w:pPr>
        <w:pStyle w:val="NoSpacing"/>
        <w:spacing w:lineRule="auto" w:line="240"/>
        <w:jc w:val="both"/>
        <w:rPr>
          <w:b/>
          <w:i/>
          <w:i/>
        </w:rPr>
      </w:pPr>
      <w:r>
        <w:rPr/>
      </w:r>
    </w:p>
    <w:sectPr>
      <w:headerReference w:type="default" r:id="rId21"/>
      <w:headerReference w:type="first" r:id="rId22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3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4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5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6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7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8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9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10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11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12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13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14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15" Type="http://schemas.openxmlformats.org/officeDocument/2006/relationships/hyperlink" Target="https://nbt.rushydro.ru/Planning/Program/View/304206?returnUrl=%2FPlanning%2FProgram%2FIndex_all%3Fnotnull%3DTrue%26page%3D1%26pageSize%3D50%26Filter.LotYears%3D2024%26Filter.UserOrganizationType%3D6%26Filter.ExtendedFilterOpened%3DFalse%26Filter.UserOrganizationType%3D6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header" Target="header3.xml"/><Relationship Id="rId19" Type="http://schemas.openxmlformats.org/officeDocument/2006/relationships/header" Target="header4.xml"/><Relationship Id="rId20" Type="http://schemas.openxmlformats.org/officeDocument/2006/relationships/header" Target="header5.xml"/><Relationship Id="rId21" Type="http://schemas.openxmlformats.org/officeDocument/2006/relationships/header" Target="header6.xml"/><Relationship Id="rId22" Type="http://schemas.openxmlformats.org/officeDocument/2006/relationships/header" Target="header7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AlterOffice/3.4.0.9$Linux_X86_64 LibreOffice_project/b8daf9e823b1a5463a2f48435ddc2e8696e7d4fc</Application>
  <AppVersion>15.0000</AppVersion>
  <Pages>9</Pages>
  <Words>888</Words>
  <Characters>5700</Characters>
  <CharactersWithSpaces>6450</CharactersWithSpaces>
  <Paragraphs>194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/>
  <cp:lastPrinted>2025-03-11T14:01:28Z</cp:lastPrinted>
  <dcterms:modified xsi:type="dcterms:W3CDTF">2026-07-01T10:44:19Z</dcterms:modified>
  <cp:revision>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