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977B57E"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6F662A" w:rsidRPr="006F662A">
        <w:rPr>
          <w:rFonts w:ascii="Times New Roman" w:hAnsi="Times New Roman" w:cs="Times New Roman"/>
          <w:sz w:val="24"/>
          <w:szCs w:val="24"/>
        </w:rPr>
        <w:t>Поставка и монтаж модульного отделения почтовой связи п</w:t>
      </w:r>
      <w:r w:rsidR="00D60A3B">
        <w:rPr>
          <w:rFonts w:ascii="Times New Roman" w:hAnsi="Times New Roman" w:cs="Times New Roman"/>
          <w:sz w:val="24"/>
          <w:szCs w:val="24"/>
        </w:rPr>
        <w:t xml:space="preserve">лощадью 25,5 </w:t>
      </w:r>
      <w:bookmarkStart w:id="0" w:name="_GoBack"/>
      <w:bookmarkEnd w:id="0"/>
      <w:r w:rsidR="00D60A3B">
        <w:rPr>
          <w:rFonts w:ascii="Times New Roman" w:hAnsi="Times New Roman" w:cs="Times New Roman"/>
          <w:sz w:val="24"/>
          <w:szCs w:val="24"/>
        </w:rPr>
        <w:t>кв. м ( ОПС 678388 и ОПС 678725</w:t>
      </w:r>
      <w:r w:rsidR="006F662A" w:rsidRPr="006F662A">
        <w:rPr>
          <w:rFonts w:ascii="Times New Roman" w:hAnsi="Times New Roman" w:cs="Times New Roman"/>
          <w:sz w:val="24"/>
          <w:szCs w:val="24"/>
        </w:rPr>
        <w:t>) для нужд УФПС Новосибирской области АО "Почта России"</w:t>
      </w:r>
      <w:r w:rsidR="006F662A">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3D68A9B4" w:rsidR="00FC6747" w:rsidRPr="001E5143" w:rsidRDefault="006F662A" w:rsidP="00907D22">
            <w:pPr>
              <w:widowControl w:val="0"/>
              <w:tabs>
                <w:tab w:val="left" w:pos="4820"/>
              </w:tabs>
              <w:spacing w:after="0" w:line="240" w:lineRule="auto"/>
              <w:rPr>
                <w:rFonts w:ascii="Times New Roman" w:hAnsi="Times New Roman" w:cs="Times New Roman"/>
                <w:i/>
                <w:color w:val="000000"/>
                <w:sz w:val="24"/>
                <w:szCs w:val="24"/>
              </w:rPr>
            </w:pPr>
            <w:r w:rsidRPr="006F662A">
              <w:rPr>
                <w:rFonts w:ascii="Times New Roman" w:hAnsi="Times New Roman"/>
                <w:i/>
                <w:sz w:val="24"/>
                <w:szCs w:val="24"/>
                <w:lang w:eastAsia="ru-RU"/>
              </w:rPr>
              <w:t>Поставка и монтаж модульного отделения почтовой связи п</w:t>
            </w:r>
            <w:r w:rsidR="00D60A3B">
              <w:rPr>
                <w:rFonts w:ascii="Times New Roman" w:hAnsi="Times New Roman"/>
                <w:i/>
                <w:sz w:val="24"/>
                <w:szCs w:val="24"/>
                <w:lang w:eastAsia="ru-RU"/>
              </w:rPr>
              <w:t>лощадью 25,5  кв. м ( ОПС 678388 и ОПС 678725</w:t>
            </w:r>
            <w:r w:rsidRPr="006F662A">
              <w:rPr>
                <w:rFonts w:ascii="Times New Roman" w:hAnsi="Times New Roman"/>
                <w:i/>
                <w:sz w:val="24"/>
                <w:szCs w:val="24"/>
                <w:lang w:eastAsia="ru-RU"/>
              </w:rPr>
              <w:t>) для нужд УФПС Новосибирской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20E4858C" w14:textId="0EFF23B6" w:rsidR="00D60A3B" w:rsidRDefault="00D60A3B" w:rsidP="00625427">
            <w:pPr>
              <w:widowControl w:val="0"/>
              <w:tabs>
                <w:tab w:val="left" w:pos="4820"/>
              </w:tabs>
              <w:spacing w:after="0" w:line="240" w:lineRule="auto"/>
              <w:rPr>
                <w:rFonts w:ascii="Times New Roman" w:hAnsi="Times New Roman"/>
                <w:bCs/>
                <w:lang w:eastAsia="ru-RU"/>
              </w:rPr>
            </w:pPr>
            <w:r w:rsidRPr="00C1200B">
              <w:rPr>
                <w:rFonts w:ascii="Times New Roman" w:hAnsi="Times New Roman"/>
                <w:bCs/>
                <w:lang w:eastAsia="ru-RU"/>
              </w:rPr>
              <w:t>6</w:t>
            </w:r>
            <w:r>
              <w:rPr>
                <w:rFonts w:ascii="Times New Roman" w:hAnsi="Times New Roman"/>
                <w:bCs/>
                <w:lang w:eastAsia="ru-RU"/>
              </w:rPr>
              <w:t>78388</w:t>
            </w:r>
            <w:r w:rsidRPr="00C1200B">
              <w:rPr>
                <w:rFonts w:ascii="Times New Roman" w:hAnsi="Times New Roman"/>
                <w:bCs/>
                <w:lang w:eastAsia="ru-RU"/>
              </w:rPr>
              <w:t>_</w:t>
            </w:r>
            <w:r w:rsidRPr="00B04529">
              <w:rPr>
                <w:rFonts w:ascii="Times New Roman" w:hAnsi="Times New Roman"/>
                <w:bCs/>
                <w:lang w:eastAsia="ru-RU"/>
              </w:rPr>
              <w:t xml:space="preserve">Российская Федерация, </w:t>
            </w:r>
            <w:proofErr w:type="spellStart"/>
            <w:r w:rsidRPr="00B04529">
              <w:rPr>
                <w:rFonts w:ascii="Times New Roman" w:hAnsi="Times New Roman"/>
                <w:bCs/>
                <w:lang w:eastAsia="ru-RU"/>
              </w:rPr>
              <w:t>Р</w:t>
            </w:r>
            <w:r>
              <w:rPr>
                <w:rFonts w:ascii="Times New Roman" w:hAnsi="Times New Roman"/>
                <w:bCs/>
                <w:lang w:eastAsia="ru-RU"/>
              </w:rPr>
              <w:t>есп</w:t>
            </w:r>
            <w:proofErr w:type="spellEnd"/>
            <w:r>
              <w:rPr>
                <w:rFonts w:ascii="Times New Roman" w:hAnsi="Times New Roman"/>
                <w:bCs/>
                <w:lang w:eastAsia="ru-RU"/>
              </w:rPr>
              <w:t xml:space="preserve">. Саха (Якутия), у </w:t>
            </w:r>
            <w:proofErr w:type="spellStart"/>
            <w:r>
              <w:rPr>
                <w:rFonts w:ascii="Times New Roman" w:hAnsi="Times New Roman"/>
                <w:bCs/>
                <w:lang w:eastAsia="ru-RU"/>
              </w:rPr>
              <w:t>Намский</w:t>
            </w:r>
            <w:proofErr w:type="spellEnd"/>
            <w:r>
              <w:rPr>
                <w:rFonts w:ascii="Times New Roman" w:hAnsi="Times New Roman"/>
                <w:bCs/>
                <w:lang w:eastAsia="ru-RU"/>
              </w:rPr>
              <w:t xml:space="preserve">, с </w:t>
            </w:r>
            <w:proofErr w:type="spellStart"/>
            <w:r w:rsidRPr="00B04529">
              <w:rPr>
                <w:rFonts w:ascii="Times New Roman" w:hAnsi="Times New Roman"/>
                <w:bCs/>
                <w:lang w:eastAsia="ru-RU"/>
              </w:rPr>
              <w:t>Аппаны</w:t>
            </w:r>
            <w:proofErr w:type="spellEnd"/>
            <w:r>
              <w:rPr>
                <w:rFonts w:ascii="Times New Roman" w:hAnsi="Times New Roman"/>
                <w:bCs/>
                <w:lang w:eastAsia="ru-RU"/>
              </w:rPr>
              <w:t>.,</w:t>
            </w:r>
          </w:p>
          <w:p w14:paraId="04F182BD" w14:textId="5907F23A" w:rsidR="001E5143" w:rsidRPr="00B0367B" w:rsidRDefault="00D60A3B" w:rsidP="00625427">
            <w:pPr>
              <w:widowControl w:val="0"/>
              <w:tabs>
                <w:tab w:val="left" w:pos="4820"/>
              </w:tabs>
              <w:spacing w:after="0" w:line="240" w:lineRule="auto"/>
              <w:rPr>
                <w:rFonts w:ascii="Times New Roman" w:hAnsi="Times New Roman" w:cs="Times New Roman"/>
                <w:i/>
                <w:color w:val="000000"/>
                <w:sz w:val="24"/>
                <w:szCs w:val="24"/>
              </w:rPr>
            </w:pPr>
            <w:r w:rsidRPr="00C1200B">
              <w:rPr>
                <w:rFonts w:ascii="Times New Roman" w:hAnsi="Times New Roman"/>
                <w:bCs/>
                <w:lang w:eastAsia="ru-RU"/>
              </w:rPr>
              <w:t>6</w:t>
            </w:r>
            <w:r>
              <w:rPr>
                <w:rFonts w:ascii="Times New Roman" w:hAnsi="Times New Roman"/>
                <w:bCs/>
                <w:lang w:eastAsia="ru-RU"/>
              </w:rPr>
              <w:t>78725</w:t>
            </w:r>
            <w:r w:rsidRPr="00C1200B">
              <w:rPr>
                <w:rFonts w:ascii="Times New Roman" w:hAnsi="Times New Roman"/>
                <w:bCs/>
                <w:lang w:eastAsia="ru-RU"/>
              </w:rPr>
              <w:t>_</w:t>
            </w:r>
            <w:r w:rsidRPr="00D15A70">
              <w:rPr>
                <w:rFonts w:ascii="Times New Roman" w:hAnsi="Times New Roman"/>
                <w:bCs/>
                <w:lang w:eastAsia="ru-RU"/>
              </w:rPr>
              <w:t xml:space="preserve">Российская Федерация, </w:t>
            </w:r>
            <w:proofErr w:type="spellStart"/>
            <w:r w:rsidRPr="00D15A70">
              <w:rPr>
                <w:rFonts w:ascii="Times New Roman" w:hAnsi="Times New Roman"/>
                <w:bCs/>
                <w:lang w:eastAsia="ru-RU"/>
              </w:rPr>
              <w:t>Респ</w:t>
            </w:r>
            <w:proofErr w:type="spellEnd"/>
            <w:r w:rsidRPr="00D15A70">
              <w:rPr>
                <w:rFonts w:ascii="Times New Roman" w:hAnsi="Times New Roman"/>
                <w:bCs/>
                <w:lang w:eastAsia="ru-RU"/>
              </w:rPr>
              <w:t xml:space="preserve"> Саха (Якутия), у </w:t>
            </w:r>
            <w:proofErr w:type="spellStart"/>
            <w:r w:rsidRPr="00D15A70">
              <w:rPr>
                <w:rFonts w:ascii="Times New Roman" w:hAnsi="Times New Roman"/>
                <w:bCs/>
                <w:lang w:eastAsia="ru-RU"/>
              </w:rPr>
              <w:t>Томпонский</w:t>
            </w:r>
            <w:proofErr w:type="spellEnd"/>
            <w:r w:rsidRPr="00D15A70">
              <w:rPr>
                <w:rFonts w:ascii="Times New Roman" w:hAnsi="Times New Roman"/>
                <w:bCs/>
                <w:lang w:eastAsia="ru-RU"/>
              </w:rPr>
              <w:t xml:space="preserve">, с </w:t>
            </w:r>
            <w:proofErr w:type="spellStart"/>
            <w:r w:rsidRPr="00D15A70">
              <w:rPr>
                <w:rFonts w:ascii="Times New Roman" w:hAnsi="Times New Roman"/>
                <w:bCs/>
                <w:lang w:eastAsia="ru-RU"/>
              </w:rPr>
              <w:t>Мегино</w:t>
            </w:r>
            <w:proofErr w:type="spellEnd"/>
            <w:r w:rsidRPr="00D15A70">
              <w:rPr>
                <w:rFonts w:ascii="Times New Roman" w:hAnsi="Times New Roman"/>
                <w:bCs/>
                <w:lang w:eastAsia="ru-RU"/>
              </w:rPr>
              <w:t>-Алдан</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2E4150C1" w14:textId="77777777" w:rsidR="009C151A" w:rsidRPr="009C151A" w:rsidRDefault="009C151A" w:rsidP="00D60A3B">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течение 7 (семи) рабочих дней с даты</w:t>
                  </w:r>
                </w:p>
                <w:p w14:paraId="1AC3BEE1" w14:textId="77777777" w:rsidR="009C151A" w:rsidRPr="009C151A" w:rsidRDefault="009C151A" w:rsidP="00D60A3B">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подписания Покупателем соответствующего</w:t>
                  </w:r>
                </w:p>
                <w:p w14:paraId="3874FF6B" w14:textId="627E6B25" w:rsidR="006E6EB9" w:rsidRPr="006E6EB9" w:rsidRDefault="009C151A" w:rsidP="00D60A3B">
                  <w:pPr>
                    <w:framePr w:hSpace="180" w:wrap="around" w:vAnchor="text" w:hAnchor="margin" w:xAlign="center" w:y="686"/>
                    <w:widowControl w:val="0"/>
                    <w:tabs>
                      <w:tab w:val="left" w:pos="4820"/>
                    </w:tabs>
                    <w:spacing w:after="0" w:line="240" w:lineRule="auto"/>
                    <w:rPr>
                      <w:i/>
                    </w:rPr>
                  </w:pPr>
                  <w:r w:rsidRPr="009C151A">
                    <w:rPr>
                      <w:rFonts w:ascii="Times New Roman" w:hAnsi="Times New Roman" w:cs="Times New Roman"/>
                      <w:i/>
                      <w:color w:val="000000"/>
                      <w:sz w:val="24"/>
                      <w:szCs w:val="24"/>
                    </w:rPr>
                    <w:t>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товаров/работ/услуг и (или) </w:t>
            </w:r>
            <w:r w:rsidRPr="00B0367B">
              <w:rPr>
                <w:rFonts w:ascii="Times New Roman" w:hAnsi="Times New Roman" w:cs="Times New Roman"/>
                <w:color w:val="000000"/>
                <w:sz w:val="24"/>
                <w:szCs w:val="24"/>
              </w:rPr>
              <w:lastRenderedPageBreak/>
              <w:t>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lastRenderedPageBreak/>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179A08F4"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05FDF485" w14:textId="088CD820"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D60A3B">
        <w:rPr>
          <w:rFonts w:ascii="Times New Roman" w:hAnsi="Times New Roman" w:cs="Times New Roman"/>
          <w:sz w:val="24"/>
          <w:szCs w:val="24"/>
        </w:rPr>
        <w:t>Пергаев Алексей Геннадьевич</w:t>
      </w:r>
      <w:r w:rsidR="000A68DE">
        <w:rPr>
          <w:rFonts w:ascii="Times New Roman" w:hAnsi="Times New Roman" w:cs="Times New Roman"/>
          <w:sz w:val="24"/>
          <w:szCs w:val="24"/>
        </w:rPr>
        <w:t xml:space="preserve">, </w:t>
      </w:r>
    </w:p>
    <w:p w14:paraId="356E9449" w14:textId="77E2F084"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D60A3B">
        <w:rPr>
          <w:rFonts w:ascii="Times New Roman" w:hAnsi="Times New Roman" w:cs="Times New Roman"/>
          <w:i/>
          <w:sz w:val="24"/>
          <w:szCs w:val="24"/>
        </w:rPr>
        <w:t>913</w:t>
      </w:r>
      <w:r w:rsidR="009C151A">
        <w:rPr>
          <w:rFonts w:ascii="Times New Roman" w:hAnsi="Times New Roman" w:cs="Times New Roman"/>
          <w:i/>
          <w:sz w:val="24"/>
          <w:szCs w:val="24"/>
        </w:rPr>
        <w:t>) 925-</w:t>
      </w:r>
      <w:r w:rsidR="00D60A3B">
        <w:rPr>
          <w:rFonts w:ascii="Times New Roman" w:hAnsi="Times New Roman" w:cs="Times New Roman"/>
          <w:i/>
          <w:sz w:val="24"/>
          <w:szCs w:val="24"/>
        </w:rPr>
        <w:t>05</w:t>
      </w:r>
      <w:r w:rsidR="009C151A">
        <w:rPr>
          <w:rFonts w:ascii="Times New Roman" w:hAnsi="Times New Roman" w:cs="Times New Roman"/>
          <w:i/>
          <w:sz w:val="24"/>
          <w:szCs w:val="24"/>
        </w:rPr>
        <w:t>-</w:t>
      </w:r>
      <w:r w:rsidR="00D60A3B">
        <w:rPr>
          <w:rFonts w:ascii="Times New Roman" w:hAnsi="Times New Roman" w:cs="Times New Roman"/>
          <w:i/>
          <w:sz w:val="24"/>
          <w:szCs w:val="24"/>
        </w:rPr>
        <w:t>10</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B3C58" w14:textId="77777777" w:rsidR="00EE6F01" w:rsidRDefault="00EE6F01">
      <w:pPr>
        <w:spacing w:line="240" w:lineRule="auto"/>
      </w:pPr>
      <w:r>
        <w:separator/>
      </w:r>
    </w:p>
  </w:endnote>
  <w:endnote w:type="continuationSeparator" w:id="0">
    <w:p w14:paraId="205175F3" w14:textId="77777777" w:rsidR="00EE6F01" w:rsidRDefault="00EE6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484D" w14:textId="77777777" w:rsidR="00EE6F01" w:rsidRDefault="00EE6F01">
      <w:pPr>
        <w:spacing w:after="0"/>
      </w:pPr>
      <w:r>
        <w:separator/>
      </w:r>
    </w:p>
  </w:footnote>
  <w:footnote w:type="continuationSeparator" w:id="0">
    <w:p w14:paraId="3C08F89D" w14:textId="77777777" w:rsidR="00EE6F01" w:rsidRDefault="00EE6F01">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E1F93"/>
    <w:rsid w:val="001E5143"/>
    <w:rsid w:val="00290B46"/>
    <w:rsid w:val="0029344F"/>
    <w:rsid w:val="002B65B4"/>
    <w:rsid w:val="002E7274"/>
    <w:rsid w:val="00303C4A"/>
    <w:rsid w:val="0037577D"/>
    <w:rsid w:val="003A6A9D"/>
    <w:rsid w:val="00410AD9"/>
    <w:rsid w:val="00477EC3"/>
    <w:rsid w:val="005F22DA"/>
    <w:rsid w:val="00615479"/>
    <w:rsid w:val="00624C98"/>
    <w:rsid w:val="00625427"/>
    <w:rsid w:val="006556B9"/>
    <w:rsid w:val="00663347"/>
    <w:rsid w:val="00671B44"/>
    <w:rsid w:val="006A766C"/>
    <w:rsid w:val="006E6EB9"/>
    <w:rsid w:val="006F662A"/>
    <w:rsid w:val="00832BED"/>
    <w:rsid w:val="00907D22"/>
    <w:rsid w:val="009B17C1"/>
    <w:rsid w:val="009C151A"/>
    <w:rsid w:val="009C31AF"/>
    <w:rsid w:val="009E070B"/>
    <w:rsid w:val="00A807D3"/>
    <w:rsid w:val="00AE6A4E"/>
    <w:rsid w:val="00B503D7"/>
    <w:rsid w:val="00B85CB4"/>
    <w:rsid w:val="00C12D54"/>
    <w:rsid w:val="00CC62EA"/>
    <w:rsid w:val="00D60A3B"/>
    <w:rsid w:val="00DF1798"/>
    <w:rsid w:val="00E55D6E"/>
    <w:rsid w:val="00E75BCD"/>
    <w:rsid w:val="00EB2610"/>
    <w:rsid w:val="00EE6F01"/>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Пергаев Алексей Геннадьевич</cp:lastModifiedBy>
  <cp:revision>3</cp:revision>
  <cp:lastPrinted>2023-09-11T08:33:00Z</cp:lastPrinted>
  <dcterms:created xsi:type="dcterms:W3CDTF">2026-06-24T08:33:00Z</dcterms:created>
  <dcterms:modified xsi:type="dcterms:W3CDTF">2026-06-24T08:40:00Z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