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63E" w:rsidRPr="008440B9" w:rsidRDefault="00F4763E" w:rsidP="00F4763E">
      <w:pPr>
        <w:spacing w:after="0" w:line="240" w:lineRule="auto"/>
        <w:ind w:left="426"/>
        <w:jc w:val="right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440B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Приложение №</w:t>
      </w:r>
      <w:r w:rsidR="008440B9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Pr="008440B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</w:t>
      </w:r>
    </w:p>
    <w:p w:rsidR="00F4763E" w:rsidRPr="008440B9" w:rsidRDefault="00F4763E" w:rsidP="00F4763E">
      <w:pPr>
        <w:spacing w:after="0" w:line="240" w:lineRule="auto"/>
        <w:ind w:left="426"/>
        <w:jc w:val="right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440B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к Техническим требованиям  </w:t>
      </w:r>
    </w:p>
    <w:p w:rsidR="00F4763E" w:rsidRPr="008440B9" w:rsidRDefault="00F4763E" w:rsidP="00F4763E">
      <w:pPr>
        <w:spacing w:after="0" w:line="240" w:lineRule="auto"/>
        <w:ind w:left="426"/>
        <w:jc w:val="right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440B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по лоту </w:t>
      </w:r>
      <w:r w:rsidR="00986537" w:rsidRPr="008440B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№ 6</w:t>
      </w:r>
      <w:r w:rsidRPr="008440B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-АХР-ДУД-202</w:t>
      </w:r>
      <w:r w:rsidR="00986537" w:rsidRPr="008440B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6</w:t>
      </w:r>
      <w:r w:rsidRPr="008440B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-ИА</w:t>
      </w:r>
    </w:p>
    <w:p w:rsidR="00F4763E" w:rsidRDefault="00F4763E" w:rsidP="00F4763E">
      <w:pPr>
        <w:spacing w:after="0" w:line="240" w:lineRule="auto"/>
        <w:ind w:left="426"/>
        <w:jc w:val="right"/>
        <w:rPr>
          <w:rFonts w:ascii="Times New Roman" w:eastAsia="Calibri" w:hAnsi="Times New Roman" w:cs="Times New Roman"/>
          <w:b/>
          <w:bCs/>
          <w:iCs/>
          <w:sz w:val="28"/>
          <w:szCs w:val="24"/>
        </w:rPr>
      </w:pPr>
    </w:p>
    <w:p w:rsidR="002616D9" w:rsidRDefault="002616D9" w:rsidP="00F4763E">
      <w:pPr>
        <w:spacing w:after="0" w:line="240" w:lineRule="auto"/>
        <w:ind w:left="426"/>
        <w:jc w:val="right"/>
        <w:rPr>
          <w:rFonts w:ascii="Times New Roman" w:eastAsia="Calibri" w:hAnsi="Times New Roman" w:cs="Times New Roman"/>
          <w:b/>
          <w:bCs/>
          <w:iCs/>
          <w:sz w:val="28"/>
          <w:szCs w:val="24"/>
        </w:rPr>
      </w:pPr>
    </w:p>
    <w:p w:rsidR="00653155" w:rsidRPr="00653155" w:rsidRDefault="00653155" w:rsidP="002616D9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iCs/>
          <w:sz w:val="28"/>
          <w:szCs w:val="24"/>
        </w:rPr>
      </w:pPr>
      <w:r w:rsidRPr="00653155">
        <w:rPr>
          <w:rFonts w:ascii="Times New Roman" w:eastAsia="Calibri" w:hAnsi="Times New Roman" w:cs="Times New Roman"/>
          <w:b/>
          <w:bCs/>
          <w:iCs/>
          <w:sz w:val="28"/>
          <w:szCs w:val="24"/>
        </w:rPr>
        <w:t>Общие требования к обработке заявок.</w:t>
      </w:r>
    </w:p>
    <w:p w:rsidR="00362411" w:rsidRPr="00702C6B" w:rsidRDefault="00362411" w:rsidP="002616D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C6B">
        <w:rPr>
          <w:rFonts w:ascii="Times New Roman" w:eastAsia="Calibri" w:hAnsi="Times New Roman" w:cs="Times New Roman"/>
          <w:sz w:val="24"/>
          <w:szCs w:val="24"/>
        </w:rPr>
        <w:t>В целях процесса оптимизации расходов по деловым поездкам Заказчика в Обществе разработаны и утверждены правила и нормы командирования работников Исполнительного аппар</w:t>
      </w:r>
      <w:r>
        <w:rPr>
          <w:rFonts w:ascii="Times New Roman" w:eastAsia="Calibri" w:hAnsi="Times New Roman" w:cs="Times New Roman"/>
          <w:sz w:val="24"/>
          <w:szCs w:val="24"/>
        </w:rPr>
        <w:t>ата</w:t>
      </w:r>
      <w:r w:rsidRPr="00702C6B">
        <w:rPr>
          <w:rFonts w:ascii="Times New Roman" w:eastAsia="Calibri" w:hAnsi="Times New Roman" w:cs="Times New Roman"/>
          <w:sz w:val="24"/>
          <w:szCs w:val="24"/>
        </w:rPr>
        <w:t xml:space="preserve"> ПАО «РусГидро» (далее - Тревел-политика или TravelPolicy).</w:t>
      </w:r>
    </w:p>
    <w:p w:rsidR="009377DB" w:rsidRDefault="00362411" w:rsidP="002616D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C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 заказчика</w:t>
      </w:r>
      <w:r w:rsidRPr="00702C6B">
        <w:rPr>
          <w:rFonts w:ascii="Times New Roman" w:eastAsia="Calibri" w:hAnsi="Times New Roman" w:cs="Times New Roman"/>
          <w:sz w:val="24"/>
          <w:szCs w:val="24"/>
        </w:rPr>
        <w:t xml:space="preserve"> применяются следующие категории пользователе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702C6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9377DB" w:rsidRDefault="009377DB" w:rsidP="002F15DA">
      <w:pPr>
        <w:numPr>
          <w:ilvl w:val="2"/>
          <w:numId w:val="1"/>
        </w:numPr>
        <w:spacing w:after="0" w:line="240" w:lineRule="auto"/>
        <w:ind w:left="1560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Председатель Правления – Генеральный директор;</w:t>
      </w:r>
      <w:r w:rsidR="00362411" w:rsidRPr="00702C6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77DB" w:rsidRDefault="009377DB" w:rsidP="002F15DA">
      <w:pPr>
        <w:numPr>
          <w:ilvl w:val="2"/>
          <w:numId w:val="1"/>
        </w:numPr>
        <w:spacing w:after="0" w:line="240" w:lineRule="auto"/>
        <w:ind w:left="1560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Член Правления;</w:t>
      </w:r>
      <w:r w:rsidR="00362411" w:rsidRPr="00702C6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77DB" w:rsidRDefault="009377DB" w:rsidP="002F15DA">
      <w:pPr>
        <w:numPr>
          <w:ilvl w:val="2"/>
          <w:numId w:val="1"/>
        </w:numPr>
        <w:spacing w:after="0" w:line="240" w:lineRule="auto"/>
        <w:ind w:left="1560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Заместитель Генерального директора;</w:t>
      </w:r>
      <w:r w:rsidR="00362411" w:rsidRPr="00702C6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77DB" w:rsidRDefault="009377DB" w:rsidP="002F15DA">
      <w:pPr>
        <w:numPr>
          <w:ilvl w:val="2"/>
          <w:numId w:val="1"/>
        </w:numPr>
        <w:spacing w:after="0" w:line="240" w:lineRule="auto"/>
        <w:ind w:left="1560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 департамента / Заместитель главного инженера;</w:t>
      </w:r>
    </w:p>
    <w:p w:rsidR="009377DB" w:rsidRDefault="009377DB" w:rsidP="002F15DA">
      <w:pPr>
        <w:numPr>
          <w:ilvl w:val="2"/>
          <w:numId w:val="1"/>
        </w:numPr>
        <w:spacing w:after="0" w:line="240" w:lineRule="auto"/>
        <w:ind w:left="1560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7DB">
        <w:rPr>
          <w:rFonts w:ascii="Times New Roman" w:eastAsia="Calibri" w:hAnsi="Times New Roman" w:cs="Times New Roman"/>
          <w:sz w:val="24"/>
          <w:szCs w:val="24"/>
        </w:rPr>
        <w:t>Зам</w:t>
      </w:r>
      <w:r>
        <w:rPr>
          <w:rFonts w:ascii="Times New Roman" w:eastAsia="Calibri" w:hAnsi="Times New Roman" w:cs="Times New Roman"/>
          <w:sz w:val="24"/>
          <w:szCs w:val="24"/>
        </w:rPr>
        <w:t>еститель директора департамента</w:t>
      </w:r>
      <w:r w:rsidRPr="009377DB">
        <w:rPr>
          <w:rFonts w:ascii="Times New Roman" w:eastAsia="Calibri" w:hAnsi="Times New Roman" w:cs="Times New Roman"/>
          <w:sz w:val="24"/>
          <w:szCs w:val="24"/>
        </w:rPr>
        <w:t>/ Руководитель центра / Руководитель службы / Руководитель дирекции;</w:t>
      </w:r>
    </w:p>
    <w:p w:rsidR="00362411" w:rsidRPr="00702C6B" w:rsidRDefault="00362411" w:rsidP="002F15DA">
      <w:pPr>
        <w:numPr>
          <w:ilvl w:val="2"/>
          <w:numId w:val="1"/>
        </w:numPr>
        <w:spacing w:after="0" w:line="240" w:lineRule="auto"/>
        <w:ind w:left="1560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C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77DB">
        <w:rPr>
          <w:rFonts w:ascii="Times New Roman" w:eastAsia="Calibri" w:hAnsi="Times New Roman" w:cs="Times New Roman"/>
          <w:sz w:val="24"/>
          <w:szCs w:val="24"/>
          <w:lang w:val="en-US"/>
        </w:rPr>
        <w:t>П</w:t>
      </w:r>
      <w:r w:rsidRPr="00702C6B">
        <w:rPr>
          <w:rFonts w:ascii="Times New Roman" w:eastAsia="Calibri" w:hAnsi="Times New Roman" w:cs="Times New Roman"/>
          <w:sz w:val="24"/>
          <w:szCs w:val="24"/>
        </w:rPr>
        <w:t>рочие работники.</w:t>
      </w:r>
    </w:p>
    <w:p w:rsidR="00362411" w:rsidRPr="00F4763E" w:rsidRDefault="00362411" w:rsidP="002616D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C6B">
        <w:rPr>
          <w:rFonts w:ascii="Times New Roman" w:eastAsia="Calibri" w:hAnsi="Times New Roman" w:cs="Times New Roman"/>
          <w:sz w:val="24"/>
          <w:szCs w:val="24"/>
        </w:rPr>
        <w:t>Для бронирования услуг в Обществе разработан корпоративный портал (</w:t>
      </w:r>
      <w:r w:rsidR="00210C8F" w:rsidRPr="00210C8F">
        <w:rPr>
          <w:rFonts w:ascii="Times New Roman" w:eastAsia="Calibri" w:hAnsi="Times New Roman" w:cs="Times New Roman"/>
          <w:sz w:val="24"/>
          <w:szCs w:val="24"/>
          <w:lang w:eastAsia="ru-RU"/>
        </w:rPr>
        <w:t>корпоративный портал на   базе   программного   продукта   VK   HR   Tek</w:t>
      </w:r>
      <w:r w:rsidRPr="00702C6B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53155" w:rsidRDefault="00653155" w:rsidP="002616D9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Исполнитель должен назначить персонального менеджера для обработки </w:t>
      </w:r>
    </w:p>
    <w:p w:rsidR="00653155" w:rsidRPr="00702C6B" w:rsidRDefault="00653155" w:rsidP="002616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>заявок Заказчика.</w:t>
      </w:r>
    </w:p>
    <w:p w:rsidR="00653155" w:rsidRPr="008F0572" w:rsidRDefault="00653155" w:rsidP="002616D9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0572">
        <w:rPr>
          <w:rFonts w:ascii="Times New Roman" w:eastAsia="Calibri" w:hAnsi="Times New Roman" w:cs="Times New Roman"/>
          <w:sz w:val="24"/>
          <w:szCs w:val="24"/>
          <w:lang w:eastAsia="ru-RU"/>
        </w:rPr>
        <w:t>Бронирование услуг происходит на основании письменного запроса командируемых работников посредством корпоративного портала (</w:t>
      </w:r>
      <w:r w:rsidR="002F15DA" w:rsidRPr="002F15DA">
        <w:rPr>
          <w:rFonts w:ascii="Times New Roman" w:eastAsia="Calibri" w:hAnsi="Times New Roman" w:cs="Times New Roman"/>
          <w:sz w:val="24"/>
          <w:szCs w:val="24"/>
          <w:lang w:eastAsia="ru-RU"/>
        </w:rPr>
        <w:t>корпоративный портал на   базе   программного   продукта   VK   HR   Tek</w:t>
      </w:r>
      <w:r w:rsidRPr="008F0572">
        <w:rPr>
          <w:rFonts w:ascii="Times New Roman" w:eastAsia="Calibri" w:hAnsi="Times New Roman" w:cs="Times New Roman"/>
          <w:sz w:val="24"/>
          <w:szCs w:val="24"/>
          <w:lang w:eastAsia="ru-RU"/>
        </w:rPr>
        <w:t>) или по электронной почте. Свед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ения об адресе электронной почты</w:t>
      </w:r>
      <w:r w:rsidRPr="008F05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уточняются на этапе заключения договора. Для направления заявок через корпоративный портал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(логин и пароль Исполнитель получает на этапе заключения договора с Победителем)</w:t>
      </w:r>
      <w:r w:rsidRPr="008F05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Заказчик предоставляет Исполнителю одну учетную запись для доступа 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корпоративный портал Заказчика.</w:t>
      </w:r>
    </w:p>
    <w:p w:rsidR="00653155" w:rsidRPr="00702C6B" w:rsidRDefault="00653155" w:rsidP="002616D9">
      <w:pPr>
        <w:numPr>
          <w:ilvl w:val="2"/>
          <w:numId w:val="1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Назначенный Исполнителем менеджер должен ознакомиться с </w:t>
      </w:r>
      <w:r w:rsidRPr="00702C6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TravelPolicy</w:t>
      </w:r>
      <w:r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Заказчика, ознакомление производится на этапе заключения договора, должен знать и уметь применять правила и нормы командирования работников </w:t>
      </w:r>
      <w:r w:rsidR="008440B9" w:rsidRPr="008440B9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исполнительного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аппарата </w:t>
      </w:r>
      <w:r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ПАО «РусГидро». </w:t>
      </w:r>
    </w:p>
    <w:p w:rsidR="00653155" w:rsidRPr="00702C6B" w:rsidRDefault="00653155" w:rsidP="002616D9">
      <w:pPr>
        <w:numPr>
          <w:ilvl w:val="2"/>
          <w:numId w:val="1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Приобретение проездных документов и бронирование проживания в гостиницах должно осуществляться Исполнителем </w:t>
      </w:r>
      <w:r w:rsidRPr="00F41307">
        <w:rPr>
          <w:rFonts w:ascii="Times New Roman" w:eastAsia="Calibri" w:hAnsi="Times New Roman" w:cs="Times New Roman"/>
          <w:sz w:val="24"/>
          <w:szCs w:val="24"/>
          <w:lang w:eastAsia="ru-RU"/>
        </w:rPr>
        <w:t>по оптимальным тарифам, доступным на момент бронирования, а также без превышения лимитов бронирования по каждой категории пользователей (установленной Заказчиком), с предоставлением информации о превышении минимально допустимого тарифа, с</w:t>
      </w:r>
      <w:r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предоставлением дополнительной информации Заказчику об отсутствии/наличии дополнительной оплаты за питание и/или дополнительные услуги, а также о необходимости доплаты за провоз багажа.</w:t>
      </w:r>
    </w:p>
    <w:p w:rsidR="00653155" w:rsidRPr="00702C6B" w:rsidRDefault="00653155" w:rsidP="002616D9">
      <w:pPr>
        <w:numPr>
          <w:ilvl w:val="2"/>
          <w:numId w:val="1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>Срок исполнения на подтверждение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получения Исполнителем заявки к</w:t>
      </w:r>
      <w:r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>омандируемого работника, согласованной руководителем структурного подразделен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ия ПАО «РусГидро»</w:t>
      </w:r>
      <w:r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приведен в Таблице </w:t>
      </w:r>
      <w:r w:rsidR="008440B9" w:rsidRPr="008440B9">
        <w:rPr>
          <w:rFonts w:ascii="Times New Roman" w:eastAsia="Calibri" w:hAnsi="Times New Roman" w:cs="Times New Roman"/>
          <w:sz w:val="24"/>
          <w:szCs w:val="24"/>
          <w:lang w:eastAsia="ru-RU"/>
        </w:rPr>
        <w:t>№ 1</w:t>
      </w:r>
      <w:r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настоящих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ехнических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>ребовани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>, где «</w:t>
      </w:r>
      <w:r w:rsidR="008440B9" w:rsidRPr="008440B9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>» – время получения заявки Исполнителем (время сервера Исполнителя):</w:t>
      </w:r>
    </w:p>
    <w:p w:rsidR="00653155" w:rsidRPr="008440B9" w:rsidRDefault="00653155" w:rsidP="0065315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Таблица </w:t>
      </w:r>
      <w:r w:rsidR="008440B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№ 1</w:t>
      </w:r>
    </w:p>
    <w:p w:rsidR="00BE26C2" w:rsidRPr="00702C6B" w:rsidRDefault="00BE26C2" w:rsidP="0065315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9"/>
        <w:gridCol w:w="2393"/>
      </w:tblGrid>
      <w:tr w:rsidR="00653155" w:rsidRPr="00702C6B" w:rsidTr="00E070D2">
        <w:trPr>
          <w:jc w:val="center"/>
        </w:trPr>
        <w:tc>
          <w:tcPr>
            <w:tcW w:w="5659" w:type="dxa"/>
          </w:tcPr>
          <w:p w:rsidR="00653155" w:rsidRPr="00702C6B" w:rsidRDefault="00653155" w:rsidP="0034454A">
            <w:pPr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C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пользователей</w:t>
            </w:r>
          </w:p>
        </w:tc>
        <w:tc>
          <w:tcPr>
            <w:tcW w:w="2393" w:type="dxa"/>
          </w:tcPr>
          <w:p w:rsidR="00653155" w:rsidRPr="00702C6B" w:rsidRDefault="00653155" w:rsidP="0034454A">
            <w:pPr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C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653155" w:rsidRPr="00702C6B" w:rsidTr="00E070D2">
        <w:trPr>
          <w:jc w:val="center"/>
        </w:trPr>
        <w:tc>
          <w:tcPr>
            <w:tcW w:w="5659" w:type="dxa"/>
          </w:tcPr>
          <w:p w:rsidR="00653155" w:rsidRPr="00702C6B" w:rsidRDefault="00E070D2" w:rsidP="004A2841">
            <w:pPr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Председатель Правления – Генеральный директор</w:t>
            </w:r>
          </w:p>
        </w:tc>
        <w:tc>
          <w:tcPr>
            <w:tcW w:w="2393" w:type="dxa"/>
          </w:tcPr>
          <w:p w:rsidR="00653155" w:rsidRPr="00702C6B" w:rsidRDefault="00653155" w:rsidP="0034454A">
            <w:pPr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C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Х+15 мин.</w:t>
            </w:r>
          </w:p>
        </w:tc>
      </w:tr>
      <w:tr w:rsidR="00653155" w:rsidRPr="00702C6B" w:rsidTr="00E070D2">
        <w:trPr>
          <w:jc w:val="center"/>
        </w:trPr>
        <w:tc>
          <w:tcPr>
            <w:tcW w:w="5659" w:type="dxa"/>
          </w:tcPr>
          <w:p w:rsidR="00653155" w:rsidRPr="00702C6B" w:rsidRDefault="004A2841" w:rsidP="004A2841">
            <w:pPr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 Правления</w:t>
            </w:r>
          </w:p>
        </w:tc>
        <w:tc>
          <w:tcPr>
            <w:tcW w:w="2393" w:type="dxa"/>
          </w:tcPr>
          <w:p w:rsidR="00653155" w:rsidRPr="00702C6B" w:rsidRDefault="004A2841" w:rsidP="0034454A">
            <w:pPr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C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Х+15 мин.</w:t>
            </w:r>
          </w:p>
        </w:tc>
      </w:tr>
      <w:tr w:rsidR="00653155" w:rsidRPr="00702C6B" w:rsidTr="00E070D2">
        <w:trPr>
          <w:jc w:val="center"/>
        </w:trPr>
        <w:tc>
          <w:tcPr>
            <w:tcW w:w="5659" w:type="dxa"/>
          </w:tcPr>
          <w:p w:rsidR="00653155" w:rsidRPr="00702C6B" w:rsidRDefault="004A2841" w:rsidP="004A2841">
            <w:pPr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Заместитель Генерального директора</w:t>
            </w:r>
          </w:p>
        </w:tc>
        <w:tc>
          <w:tcPr>
            <w:tcW w:w="2393" w:type="dxa"/>
          </w:tcPr>
          <w:p w:rsidR="00653155" w:rsidRPr="00702C6B" w:rsidRDefault="004A2841" w:rsidP="0034454A">
            <w:pPr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C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Х+15 мин.</w:t>
            </w:r>
          </w:p>
        </w:tc>
      </w:tr>
      <w:tr w:rsidR="004A2841" w:rsidRPr="00702C6B" w:rsidTr="00E070D2">
        <w:trPr>
          <w:jc w:val="center"/>
        </w:trPr>
        <w:tc>
          <w:tcPr>
            <w:tcW w:w="5659" w:type="dxa"/>
          </w:tcPr>
          <w:p w:rsidR="004A2841" w:rsidRPr="00702C6B" w:rsidRDefault="004A2841" w:rsidP="004A2841">
            <w:pPr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департамента / Заместитель главного инженера</w:t>
            </w:r>
          </w:p>
        </w:tc>
        <w:tc>
          <w:tcPr>
            <w:tcW w:w="2393" w:type="dxa"/>
          </w:tcPr>
          <w:p w:rsidR="004A2841" w:rsidRPr="00702C6B" w:rsidRDefault="004A2841" w:rsidP="004A2841">
            <w:pPr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C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Х+20 мин.</w:t>
            </w:r>
          </w:p>
        </w:tc>
      </w:tr>
      <w:tr w:rsidR="004A2841" w:rsidRPr="00702C6B" w:rsidTr="00E070D2">
        <w:trPr>
          <w:jc w:val="center"/>
        </w:trPr>
        <w:tc>
          <w:tcPr>
            <w:tcW w:w="5659" w:type="dxa"/>
          </w:tcPr>
          <w:p w:rsidR="004A2841" w:rsidRPr="00702C6B" w:rsidRDefault="004A2841" w:rsidP="004A2841">
            <w:pPr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7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еститель директора департамента</w:t>
            </w:r>
            <w:r w:rsidRPr="009377DB">
              <w:rPr>
                <w:rFonts w:ascii="Times New Roman" w:eastAsia="Calibri" w:hAnsi="Times New Roman" w:cs="Times New Roman"/>
                <w:sz w:val="24"/>
                <w:szCs w:val="24"/>
              </w:rPr>
              <w:t>/ Руководитель центра / Руководитель службы / Руководитель дирекции</w:t>
            </w:r>
          </w:p>
        </w:tc>
        <w:tc>
          <w:tcPr>
            <w:tcW w:w="2393" w:type="dxa"/>
          </w:tcPr>
          <w:p w:rsidR="004A2841" w:rsidRPr="00702C6B" w:rsidRDefault="004A2841" w:rsidP="004A2841">
            <w:pPr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C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Х+25 мин.</w:t>
            </w:r>
          </w:p>
        </w:tc>
      </w:tr>
      <w:tr w:rsidR="004A2841" w:rsidRPr="00702C6B" w:rsidTr="00E070D2">
        <w:trPr>
          <w:jc w:val="center"/>
        </w:trPr>
        <w:tc>
          <w:tcPr>
            <w:tcW w:w="5659" w:type="dxa"/>
          </w:tcPr>
          <w:p w:rsidR="004A2841" w:rsidRPr="00702C6B" w:rsidRDefault="004A2841" w:rsidP="004A2841">
            <w:pPr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</w:t>
            </w:r>
            <w:r w:rsidRPr="00702C6B">
              <w:rPr>
                <w:rFonts w:ascii="Times New Roman" w:eastAsia="Calibri" w:hAnsi="Times New Roman" w:cs="Times New Roman"/>
                <w:sz w:val="24"/>
                <w:szCs w:val="24"/>
              </w:rPr>
              <w:t>рочие работники</w:t>
            </w:r>
          </w:p>
        </w:tc>
        <w:tc>
          <w:tcPr>
            <w:tcW w:w="2393" w:type="dxa"/>
          </w:tcPr>
          <w:p w:rsidR="004A2841" w:rsidRPr="00702C6B" w:rsidRDefault="004A2841" w:rsidP="004A2841">
            <w:pPr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Х+30 мин.</w:t>
            </w:r>
          </w:p>
        </w:tc>
      </w:tr>
    </w:tbl>
    <w:p w:rsidR="00653155" w:rsidRPr="00702C6B" w:rsidRDefault="00653155" w:rsidP="006531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53155" w:rsidRPr="00702C6B" w:rsidRDefault="00653155" w:rsidP="00653155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>При получении заявки Заказчика Исполнитель принимает ее в работу не позднее времени, указанного в Таблице</w:t>
      </w:r>
      <w:r w:rsidR="008440B9" w:rsidRPr="008440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2</w:t>
      </w:r>
      <w:r w:rsidR="000F5782"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настоящих Технических требовани</w:t>
      </w:r>
      <w:r w:rsidR="000F5782" w:rsidRPr="000F5782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>, где «</w:t>
      </w:r>
      <w:r w:rsidR="006E22C1" w:rsidRPr="00702C6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Y</w:t>
      </w:r>
      <w:r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- время получения заявки Исполнителем по средствам корпоративного портала </w:t>
      </w:r>
      <w:r w:rsidR="006E22C1" w:rsidRPr="002F15DA">
        <w:rPr>
          <w:rFonts w:ascii="Times New Roman" w:eastAsia="Calibri" w:hAnsi="Times New Roman" w:cs="Times New Roman"/>
          <w:sz w:val="24"/>
          <w:szCs w:val="24"/>
          <w:lang w:eastAsia="ru-RU"/>
        </w:rPr>
        <w:t>на базе   программного   продукта   VK   HR   Tek</w:t>
      </w:r>
      <w:r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на электронную почту Исполнителя:</w:t>
      </w:r>
    </w:p>
    <w:p w:rsidR="00653155" w:rsidRPr="00702C6B" w:rsidRDefault="00653155" w:rsidP="006531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53155" w:rsidRDefault="00653155" w:rsidP="0065315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Таблица </w:t>
      </w:r>
      <w:r w:rsidR="008440B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№ 2</w:t>
      </w:r>
      <w:bookmarkStart w:id="0" w:name="_GoBack"/>
      <w:bookmarkEnd w:id="0"/>
    </w:p>
    <w:p w:rsidR="006E22C1" w:rsidRPr="00702C6B" w:rsidRDefault="006E22C1" w:rsidP="0065315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17"/>
        <w:gridCol w:w="2393"/>
      </w:tblGrid>
      <w:tr w:rsidR="00653155" w:rsidRPr="00702C6B" w:rsidTr="006E22C1">
        <w:trPr>
          <w:jc w:val="center"/>
        </w:trPr>
        <w:tc>
          <w:tcPr>
            <w:tcW w:w="5517" w:type="dxa"/>
          </w:tcPr>
          <w:p w:rsidR="00653155" w:rsidRPr="00702C6B" w:rsidRDefault="00653155" w:rsidP="0034454A">
            <w:pPr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C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пользователей</w:t>
            </w:r>
          </w:p>
        </w:tc>
        <w:tc>
          <w:tcPr>
            <w:tcW w:w="2393" w:type="dxa"/>
          </w:tcPr>
          <w:p w:rsidR="00653155" w:rsidRPr="00702C6B" w:rsidRDefault="00653155" w:rsidP="0034454A">
            <w:pPr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C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6E22C1" w:rsidRPr="00702C6B" w:rsidTr="006E22C1">
        <w:trPr>
          <w:jc w:val="center"/>
        </w:trPr>
        <w:tc>
          <w:tcPr>
            <w:tcW w:w="5517" w:type="dxa"/>
          </w:tcPr>
          <w:p w:rsidR="006E22C1" w:rsidRPr="00702C6B" w:rsidRDefault="006E22C1" w:rsidP="006E22C1">
            <w:pPr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Председатель Правления – Генеральный директор</w:t>
            </w:r>
          </w:p>
        </w:tc>
        <w:tc>
          <w:tcPr>
            <w:tcW w:w="2393" w:type="dxa"/>
          </w:tcPr>
          <w:p w:rsidR="006E22C1" w:rsidRPr="00702C6B" w:rsidRDefault="006E22C1" w:rsidP="006E22C1">
            <w:pPr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C6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702C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+5 мин.</w:t>
            </w:r>
          </w:p>
        </w:tc>
      </w:tr>
      <w:tr w:rsidR="006E22C1" w:rsidRPr="00702C6B" w:rsidTr="006E22C1">
        <w:trPr>
          <w:jc w:val="center"/>
        </w:trPr>
        <w:tc>
          <w:tcPr>
            <w:tcW w:w="5517" w:type="dxa"/>
          </w:tcPr>
          <w:p w:rsidR="006E22C1" w:rsidRPr="00702C6B" w:rsidRDefault="006E22C1" w:rsidP="006E22C1">
            <w:pPr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 Правления</w:t>
            </w:r>
          </w:p>
        </w:tc>
        <w:tc>
          <w:tcPr>
            <w:tcW w:w="2393" w:type="dxa"/>
          </w:tcPr>
          <w:p w:rsidR="006E22C1" w:rsidRPr="00702C6B" w:rsidRDefault="00C45D7A" w:rsidP="006E22C1">
            <w:pPr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C6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702C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+5 мин.</w:t>
            </w:r>
          </w:p>
        </w:tc>
      </w:tr>
      <w:tr w:rsidR="006E22C1" w:rsidRPr="00702C6B" w:rsidTr="006E22C1">
        <w:trPr>
          <w:jc w:val="center"/>
        </w:trPr>
        <w:tc>
          <w:tcPr>
            <w:tcW w:w="5517" w:type="dxa"/>
          </w:tcPr>
          <w:p w:rsidR="006E22C1" w:rsidRPr="00702C6B" w:rsidRDefault="006E22C1" w:rsidP="006E22C1">
            <w:pPr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Заместитель Генерального директора</w:t>
            </w:r>
          </w:p>
        </w:tc>
        <w:tc>
          <w:tcPr>
            <w:tcW w:w="2393" w:type="dxa"/>
          </w:tcPr>
          <w:p w:rsidR="006E22C1" w:rsidRPr="00702C6B" w:rsidRDefault="00C45D7A" w:rsidP="006E22C1">
            <w:pPr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C6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702C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+5 мин.</w:t>
            </w:r>
          </w:p>
        </w:tc>
      </w:tr>
      <w:tr w:rsidR="00C45D7A" w:rsidRPr="00702C6B" w:rsidTr="006E22C1">
        <w:trPr>
          <w:jc w:val="center"/>
        </w:trPr>
        <w:tc>
          <w:tcPr>
            <w:tcW w:w="5517" w:type="dxa"/>
          </w:tcPr>
          <w:p w:rsidR="00C45D7A" w:rsidRPr="00702C6B" w:rsidRDefault="00C45D7A" w:rsidP="00C45D7A">
            <w:pPr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департамента / Заместитель главного инженера</w:t>
            </w:r>
          </w:p>
        </w:tc>
        <w:tc>
          <w:tcPr>
            <w:tcW w:w="2393" w:type="dxa"/>
          </w:tcPr>
          <w:p w:rsidR="00C45D7A" w:rsidRPr="00702C6B" w:rsidRDefault="00C45D7A" w:rsidP="00C45D7A">
            <w:pPr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C6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702C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+</w:t>
            </w:r>
            <w:r w:rsidRPr="00702C6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02C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</w:tr>
      <w:tr w:rsidR="00C45D7A" w:rsidRPr="00702C6B" w:rsidTr="006E22C1">
        <w:trPr>
          <w:jc w:val="center"/>
        </w:trPr>
        <w:tc>
          <w:tcPr>
            <w:tcW w:w="5517" w:type="dxa"/>
          </w:tcPr>
          <w:p w:rsidR="00C45D7A" w:rsidRPr="00702C6B" w:rsidRDefault="00C45D7A" w:rsidP="00C45D7A">
            <w:pPr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7DB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еститель директора департамента</w:t>
            </w:r>
            <w:r w:rsidRPr="009377DB">
              <w:rPr>
                <w:rFonts w:ascii="Times New Roman" w:eastAsia="Calibri" w:hAnsi="Times New Roman" w:cs="Times New Roman"/>
                <w:sz w:val="24"/>
                <w:szCs w:val="24"/>
              </w:rPr>
              <w:t>/ Руководитель центра / Руководитель службы / Руководитель дирекции</w:t>
            </w:r>
          </w:p>
        </w:tc>
        <w:tc>
          <w:tcPr>
            <w:tcW w:w="2393" w:type="dxa"/>
          </w:tcPr>
          <w:p w:rsidR="00C45D7A" w:rsidRPr="00702C6B" w:rsidRDefault="00C45D7A" w:rsidP="00C45D7A">
            <w:pPr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C6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702C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+</w:t>
            </w:r>
            <w:r w:rsidRPr="00702C6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02C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</w:tr>
      <w:tr w:rsidR="00C45D7A" w:rsidRPr="00702C6B" w:rsidTr="006E22C1">
        <w:trPr>
          <w:jc w:val="center"/>
        </w:trPr>
        <w:tc>
          <w:tcPr>
            <w:tcW w:w="5517" w:type="dxa"/>
          </w:tcPr>
          <w:p w:rsidR="00C45D7A" w:rsidRPr="00702C6B" w:rsidRDefault="00C45D7A" w:rsidP="00C45D7A">
            <w:pPr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</w:t>
            </w:r>
            <w:r w:rsidRPr="00702C6B">
              <w:rPr>
                <w:rFonts w:ascii="Times New Roman" w:eastAsia="Calibri" w:hAnsi="Times New Roman" w:cs="Times New Roman"/>
                <w:sz w:val="24"/>
                <w:szCs w:val="24"/>
              </w:rPr>
              <w:t>рочие работники</w:t>
            </w:r>
          </w:p>
        </w:tc>
        <w:tc>
          <w:tcPr>
            <w:tcW w:w="2393" w:type="dxa"/>
          </w:tcPr>
          <w:p w:rsidR="00C45D7A" w:rsidRPr="00702C6B" w:rsidRDefault="00C45D7A" w:rsidP="00C45D7A">
            <w:pPr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C6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702C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+</w:t>
            </w:r>
            <w:r w:rsidRPr="00702C6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702C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</w:tr>
    </w:tbl>
    <w:p w:rsidR="00653155" w:rsidRPr="00702C6B" w:rsidRDefault="00653155" w:rsidP="00653155">
      <w:pPr>
        <w:tabs>
          <w:tab w:val="left" w:pos="709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53155" w:rsidRPr="00F41307" w:rsidRDefault="00653155" w:rsidP="00653155">
      <w:pPr>
        <w:numPr>
          <w:ilvl w:val="2"/>
          <w:numId w:val="1"/>
        </w:numPr>
        <w:spacing w:after="0" w:line="240" w:lineRule="auto"/>
        <w:ind w:left="142" w:firstLine="56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41307">
        <w:rPr>
          <w:rFonts w:ascii="Times New Roman" w:eastAsia="Calibri" w:hAnsi="Times New Roman" w:cs="Times New Roman"/>
          <w:sz w:val="24"/>
          <w:szCs w:val="24"/>
        </w:rPr>
        <w:t xml:space="preserve">Подача документов </w:t>
      </w:r>
      <w:r w:rsidRPr="00F41307">
        <w:rPr>
          <w:rFonts w:ascii="Times New Roman" w:eastAsia="Calibri" w:hAnsi="Times New Roman" w:cs="Times New Roman"/>
          <w:sz w:val="24"/>
          <w:szCs w:val="24"/>
          <w:lang w:eastAsia="ru-RU"/>
        </w:rPr>
        <w:t>в уполномоченный орган государственной власти и/или консульство и/или посольство иностранного государства не позднее 1 (одного) рабочего дня после получения Исполнителем (Исполнитель должен быть аккредитован в указанных ведомствах) полного и корректно оформленного пакета документов от Заказчика.</w:t>
      </w:r>
    </w:p>
    <w:p w:rsidR="00653155" w:rsidRPr="00F41307" w:rsidRDefault="00653155" w:rsidP="00653155">
      <w:pPr>
        <w:numPr>
          <w:ilvl w:val="2"/>
          <w:numId w:val="1"/>
        </w:numPr>
        <w:spacing w:after="0" w:line="240" w:lineRule="auto"/>
        <w:ind w:left="142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3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Исполнитель должен оперативно предоставлять информацию по запросам Заказчика (срок на обработку заявки не может превышать более 1 часа по всем категориям пользователей) об оптимальных маршрутах следования к месту назначения, наличии билетов, мест в гостиницах, в независимости от способа получения заявки от Заказчика; </w:t>
      </w:r>
    </w:p>
    <w:p w:rsidR="00653155" w:rsidRPr="00F41307" w:rsidRDefault="00653155" w:rsidP="00653155">
      <w:pPr>
        <w:numPr>
          <w:ilvl w:val="2"/>
          <w:numId w:val="1"/>
        </w:numPr>
        <w:spacing w:after="0" w:line="240" w:lineRule="auto"/>
        <w:ind w:left="142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307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 должен оперативно осуществлять бронирование авиа-, железнодорожных билетов (в срок не более 1 часа по всем категориям пользователей) и номеров в гостиницах, транспорта за рубежом, переговорных комнат/конференц залов (в срок не более 4 часов по всем категориям пользователей), в независимости от способа получения заявки от Заказчика;</w:t>
      </w:r>
    </w:p>
    <w:p w:rsidR="00653155" w:rsidRPr="00702C6B" w:rsidRDefault="00653155" w:rsidP="00653155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307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 должен иметь возможность</w:t>
      </w:r>
      <w:r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оказания услуг по всему миру.</w:t>
      </w:r>
    </w:p>
    <w:p w:rsidR="00653155" w:rsidRPr="00702C6B" w:rsidRDefault="00653155" w:rsidP="00653155">
      <w:pPr>
        <w:numPr>
          <w:ilvl w:val="2"/>
          <w:numId w:val="1"/>
        </w:numPr>
        <w:spacing w:after="0" w:line="240" w:lineRule="auto"/>
        <w:ind w:left="142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2C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обработке заявок Заказчика исполнитель должен соблюдать </w:t>
      </w:r>
      <w:r w:rsidRPr="00702C6B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 Федерального закона от 27.07.2006 г. № 152- ФЗ «О персональных данных»</w:t>
      </w:r>
      <w:r w:rsidRPr="00702C6B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.</w:t>
      </w:r>
    </w:p>
    <w:p w:rsidR="007C552C" w:rsidRDefault="007C552C"/>
    <w:sectPr w:rsidR="007C552C" w:rsidSect="00BE26C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526" w:rsidRDefault="005F0526" w:rsidP="00653155">
      <w:pPr>
        <w:spacing w:after="0" w:line="240" w:lineRule="auto"/>
      </w:pPr>
      <w:r>
        <w:separator/>
      </w:r>
    </w:p>
  </w:endnote>
  <w:endnote w:type="continuationSeparator" w:id="0">
    <w:p w:rsidR="005F0526" w:rsidRDefault="005F0526" w:rsidP="0065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526" w:rsidRDefault="005F0526" w:rsidP="00653155">
      <w:pPr>
        <w:spacing w:after="0" w:line="240" w:lineRule="auto"/>
      </w:pPr>
      <w:r>
        <w:separator/>
      </w:r>
    </w:p>
  </w:footnote>
  <w:footnote w:type="continuationSeparator" w:id="0">
    <w:p w:rsidR="005F0526" w:rsidRDefault="005F0526" w:rsidP="00653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47F93"/>
    <w:multiLevelType w:val="multilevel"/>
    <w:tmpl w:val="003C6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bullet"/>
      <w:lvlText w:val=""/>
      <w:lvlJc w:val="left"/>
      <w:pPr>
        <w:ind w:left="1430" w:hanging="720"/>
      </w:pPr>
      <w:rPr>
        <w:rFonts w:ascii="Symbol" w:hAnsi="Symbol"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  <w:i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  <w:iCs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  <w:iCs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/>
        <w:iCs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  <w:iCs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/>
        <w:i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7"/>
    <w:rsid w:val="000F5782"/>
    <w:rsid w:val="001A4FF1"/>
    <w:rsid w:val="00210C8F"/>
    <w:rsid w:val="002616D9"/>
    <w:rsid w:val="002E0B67"/>
    <w:rsid w:val="002F15DA"/>
    <w:rsid w:val="00362411"/>
    <w:rsid w:val="004A2841"/>
    <w:rsid w:val="005A39AB"/>
    <w:rsid w:val="005F0526"/>
    <w:rsid w:val="00653155"/>
    <w:rsid w:val="006E22C1"/>
    <w:rsid w:val="006F6FA9"/>
    <w:rsid w:val="007C552C"/>
    <w:rsid w:val="008440B9"/>
    <w:rsid w:val="009377DB"/>
    <w:rsid w:val="00986537"/>
    <w:rsid w:val="00B16B45"/>
    <w:rsid w:val="00BD5D8D"/>
    <w:rsid w:val="00BE26C2"/>
    <w:rsid w:val="00C45D7A"/>
    <w:rsid w:val="00D71285"/>
    <w:rsid w:val="00E070D2"/>
    <w:rsid w:val="00F4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D3C3"/>
  <w15:chartTrackingRefBased/>
  <w15:docId w15:val="{0B5D7CF0-6AEE-4CB8-96E8-960E4B31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6531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53155"/>
    <w:rPr>
      <w:rFonts w:ascii="Calibri" w:eastAsia="Calibri" w:hAnsi="Calibri" w:cs="Calibri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653155"/>
    <w:rPr>
      <w:vertAlign w:val="superscript"/>
    </w:rPr>
  </w:style>
  <w:style w:type="paragraph" w:styleId="a6">
    <w:name w:val="List Paragraph"/>
    <w:basedOn w:val="a"/>
    <w:uiPriority w:val="34"/>
    <w:qFormat/>
    <w:rsid w:val="00362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717</Words>
  <Characters>4089</Characters>
  <Application>Microsoft Office Word</Application>
  <DocSecurity>0</DocSecurity>
  <Lines>34</Lines>
  <Paragraphs>9</Paragraphs>
  <ScaleCrop>false</ScaleCrop>
  <Company>РусГидро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Чупрун Дмитрий Сергеевич</dc:creator>
  <cp:keywords/>
  <dc:description/>
  <cp:lastModifiedBy>Вахненко Анна Ивановна</cp:lastModifiedBy>
  <cp:revision>20</cp:revision>
  <dcterms:created xsi:type="dcterms:W3CDTF">2023-11-13T14:12:00Z</dcterms:created>
  <dcterms:modified xsi:type="dcterms:W3CDTF">2026-06-16T05:51:00Z</dcterms:modified>
</cp:coreProperties>
</file>