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9"/>
        <w:spacing w:lineRule="auto" w:line="240"/>
        <w:ind w:left="5069" w:right="40" w:hanging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19"/>
        <w:shd w:val="clear" w:color="auto" w:fill="auto"/>
        <w:spacing w:lineRule="auto" w:line="240"/>
        <w:rPr/>
      </w:pPr>
      <w:r>
        <w:rPr/>
      </w:r>
    </w:p>
    <w:p>
      <w:pPr>
        <w:pStyle w:val="19"/>
        <w:spacing w:lineRule="auto" w:line="240"/>
        <w:ind w:left="5670" w:right="40" w:hanging="0"/>
        <w:rPr/>
      </w:pPr>
      <w:r>
        <w:rPr/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Технические требования на оказание услуг</w:t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ОКПД 2:</w:t>
      </w:r>
      <w:r>
        <w:rPr>
          <w:rFonts w:eastAsia="Calibri"/>
          <w:sz w:val="24"/>
          <w:szCs w:val="24"/>
        </w:rPr>
        <w:t xml:space="preserve"> 45.20.11 </w:t>
      </w:r>
      <w:r>
        <w:rPr>
          <w:sz w:val="24"/>
          <w:szCs w:val="24"/>
        </w:rPr>
        <w:t>Оказание услуг по ремонту и техническому обслуживанию автотранспортных средств марки (ГАЗ, ВАЗ, Рено) Кабардино-Балкарского производственного участка Северо-Кавказского филиала.</w:t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numPr>
              <w:ilvl w:val="0"/>
              <w:numId w:val="0"/>
            </w:numPr>
            <w:ind w:left="4188" w:hanging="0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color w:val="auto"/>
              <w:sz w:val="24"/>
              <w:szCs w:val="24"/>
            </w:rPr>
            <w:t>СОДЕРЖАНИЕ</w:t>
          </w:r>
        </w:p>
        <w:p>
          <w:pPr>
            <w:pStyle w:val="TOC1"/>
            <w:tabs>
              <w:tab w:val="clear" w:pos="720"/>
              <w:tab w:val="left" w:pos="560" w:leader="none"/>
              <w:tab w:val="right" w:pos="9911" w:leader="dot"/>
            </w:tabs>
            <w:rPr/>
          </w:pPr>
          <w:r>
            <w:fldChar w:fldCharType="begin"/>
          </w:r>
          <w:r>
            <w:rPr>
              <w:webHidden/>
              <w:rStyle w:val="Style17"/>
              <w:sz w:val="24"/>
              <w:szCs w:val="24"/>
              <w:vanish w:val="false"/>
            </w:rPr>
            <w:instrText xml:space="preserve"> TOC \z \o "1-3" \u \h</w:instrText>
          </w:r>
          <w:r>
            <w:rPr>
              <w:webHidden/>
              <w:rStyle w:val="Style17"/>
              <w:sz w:val="24"/>
              <w:szCs w:val="24"/>
              <w:vanish w:val="false"/>
            </w:rPr>
            <w:fldChar w:fldCharType="separate"/>
          </w:r>
          <w:hyperlink w:anchor="_Toc127198201">
            <w:r>
              <w:rPr>
                <w:webHidden/>
                <w:rStyle w:val="Style17"/>
                <w:vanish w:val="false"/>
                <w:sz w:val="24"/>
                <w:szCs w:val="24"/>
              </w:rPr>
              <w:t>1.</w:t>
            </w:r>
            <w:r>
              <w:rPr>
                <w:rStyle w:val="Style17"/>
                <w:rFonts w:eastAsia="" w:cs="" w:cstheme="minorBidi" w:eastAsiaTheme="minorEastAsia"/>
                <w:b w:val="false"/>
                <w:bCs w:val="false"/>
                <w:sz w:val="24"/>
                <w:szCs w:val="24"/>
              </w:rPr>
              <w:tab/>
            </w:r>
            <w:r>
              <w:rPr>
                <w:rStyle w:val="Style17"/>
                <w:sz w:val="24"/>
                <w:szCs w:val="2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_Toc127198201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vanish w:val="false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rPr/>
          </w:pPr>
          <w:hyperlink w:anchor="_Toc127198202">
            <w:r>
              <w:rPr>
                <w:webHidden/>
                <w:rStyle w:val="Style17"/>
                <w:iCs/>
                <w:vanish w:val="false"/>
                <w:sz w:val="24"/>
                <w:szCs w:val="24"/>
              </w:rPr>
              <w:t>1.1.</w:t>
            </w:r>
            <w:r>
              <w:rPr>
                <w:rStyle w:val="Style17"/>
                <w:rFonts w:eastAsia="" w:cs="" w:cstheme="minorBidi" w:eastAsiaTheme="minorEastAsia"/>
                <w:bCs w:val="false"/>
                <w:sz w:val="24"/>
                <w:szCs w:val="24"/>
              </w:rPr>
              <w:tab/>
            </w:r>
            <w:r>
              <w:rPr>
                <w:rStyle w:val="Style17"/>
                <w:sz w:val="24"/>
                <w:szCs w:val="24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_Toc127198202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vanish w:val="false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rPr/>
          </w:pPr>
          <w:hyperlink w:anchor="_Toc127198203">
            <w:r>
              <w:rPr>
                <w:webHidden/>
                <w:rStyle w:val="Style17"/>
                <w:iCs/>
                <w:vanish w:val="false"/>
                <w:sz w:val="24"/>
                <w:szCs w:val="24"/>
              </w:rPr>
              <w:t>1.2.</w:t>
            </w:r>
            <w:r>
              <w:rPr>
                <w:rStyle w:val="Style17"/>
                <w:rFonts w:eastAsia="" w:cs="" w:cstheme="minorBidi" w:eastAsiaTheme="minorEastAsia"/>
                <w:bCs w:val="false"/>
                <w:sz w:val="24"/>
                <w:szCs w:val="24"/>
              </w:rPr>
              <w:tab/>
            </w:r>
            <w:r>
              <w:rPr>
                <w:rStyle w:val="Style17"/>
                <w:sz w:val="24"/>
                <w:szCs w:val="24"/>
              </w:rPr>
              <w:t>Наименование закупаемой продукции.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_Toc127198203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rPr/>
          </w:pPr>
          <w:hyperlink w:anchor="_Toc127198204">
            <w:r>
              <w:rPr>
                <w:webHidden/>
                <w:rStyle w:val="Style17"/>
                <w:iCs/>
                <w:vanish w:val="false"/>
                <w:sz w:val="24"/>
                <w:szCs w:val="24"/>
              </w:rPr>
              <w:t>1.3.</w:t>
            </w:r>
            <w:r>
              <w:rPr>
                <w:rStyle w:val="Style17"/>
                <w:rFonts w:eastAsia="" w:cs="" w:cstheme="minorBidi" w:eastAsiaTheme="minorEastAsia"/>
                <w:bCs w:val="false"/>
                <w:sz w:val="24"/>
                <w:szCs w:val="24"/>
              </w:rPr>
              <w:tab/>
            </w:r>
            <w:r>
              <w:rPr>
                <w:rStyle w:val="Style17"/>
                <w:sz w:val="24"/>
                <w:szCs w:val="2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_Toc127198204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20"/>
              <w:tab w:val="left" w:pos="560" w:leader="none"/>
              <w:tab w:val="right" w:pos="9911" w:leader="dot"/>
            </w:tabs>
            <w:rPr/>
          </w:pPr>
          <w:hyperlink w:anchor="_Toc127198211">
            <w:r>
              <w:rPr>
                <w:webHidden/>
                <w:rStyle w:val="Style17"/>
                <w:vanish w:val="false"/>
                <w:sz w:val="24"/>
                <w:szCs w:val="24"/>
              </w:rPr>
              <w:t>2.</w:t>
            </w:r>
            <w:r>
              <w:rPr>
                <w:rStyle w:val="Style17"/>
                <w:rFonts w:eastAsia="" w:cs="" w:cstheme="minorBidi" w:eastAsiaTheme="minorEastAsia"/>
                <w:b w:val="false"/>
                <w:bCs w:val="false"/>
                <w:sz w:val="24"/>
                <w:szCs w:val="24"/>
              </w:rPr>
              <w:tab/>
            </w:r>
            <w:r>
              <w:rPr>
                <w:rStyle w:val="Style17"/>
                <w:sz w:val="24"/>
                <w:szCs w:val="24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_Toc127198211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rPr/>
          </w:pPr>
          <w:hyperlink w:anchor="_Toc127198212">
            <w:r>
              <w:rPr>
                <w:webHidden/>
                <w:rStyle w:val="Style17"/>
                <w:iCs/>
                <w:vanish w:val="false"/>
                <w:sz w:val="24"/>
                <w:szCs w:val="24"/>
              </w:rPr>
              <w:t>2.1.</w:t>
            </w:r>
            <w:r>
              <w:rPr>
                <w:rStyle w:val="Style17"/>
                <w:rFonts w:eastAsia="" w:cs="" w:cstheme="minorBidi" w:eastAsiaTheme="minorEastAsia"/>
                <w:bCs w:val="false"/>
                <w:sz w:val="24"/>
                <w:szCs w:val="24"/>
              </w:rPr>
              <w:tab/>
            </w:r>
            <w:r>
              <w:rPr>
                <w:rStyle w:val="Style17"/>
                <w:sz w:val="24"/>
                <w:szCs w:val="24"/>
              </w:rPr>
              <w:t>Требования к объемам и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_Toc127198212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rPr/>
          </w:pPr>
          <w:hyperlink w:anchor="_Toc127198213">
            <w:r>
              <w:rPr>
                <w:webHidden/>
                <w:rStyle w:val="Style17"/>
                <w:iCs/>
                <w:vanish w:val="false"/>
                <w:sz w:val="24"/>
                <w:szCs w:val="24"/>
              </w:rPr>
              <w:t xml:space="preserve">2.1.1 </w:t>
            </w:r>
            <w:r>
              <w:rPr>
                <w:rStyle w:val="Style17"/>
                <w:sz w:val="24"/>
                <w:szCs w:val="24"/>
              </w:rPr>
              <w:t>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_Toc127198213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20"/>
              <w:tab w:val="right" w:pos="9911" w:leader="dot"/>
            </w:tabs>
            <w:rPr/>
          </w:pPr>
          <w:hyperlink w:anchor="_Toc12719821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_Toc127198214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7"/>
                <w:vanish w:val="false"/>
                <w:sz w:val="24"/>
                <w:szCs w:val="24"/>
              </w:rPr>
              <w:t>Таблица 1. Перечень и объем оказываемых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/>
          </w:pPr>
          <w:hyperlink w:anchor="_Toc127198215">
            <w:r>
              <w:rPr>
                <w:webHidden/>
                <w:rStyle w:val="Style17"/>
                <w:vanish w:val="false"/>
                <w:sz w:val="24"/>
                <w:szCs w:val="24"/>
              </w:rPr>
              <w:t>2.1.2.</w:t>
            </w:r>
            <w:r>
              <w:rPr>
                <w:rStyle w:val="Style17"/>
                <w:rFonts w:eastAsia="" w:cs="" w:cstheme="minorBidi" w:eastAsiaTheme="minorEastAsia"/>
                <w:vanish w:val="false"/>
                <w:sz w:val="24"/>
                <w:szCs w:val="24"/>
              </w:rPr>
              <w:t xml:space="preserve"> </w:t>
            </w:r>
            <w:r>
              <w:rPr>
                <w:rStyle w:val="Style17"/>
                <w:sz w:val="24"/>
                <w:szCs w:val="2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_Toc127198215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vanish w:val="false"/>
                <w:sz w:val="24"/>
                <w:szCs w:val="2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20"/>
              <w:tab w:val="right" w:pos="9911" w:leader="dot"/>
            </w:tabs>
            <w:rPr/>
          </w:pPr>
          <w:hyperlink w:anchor="_Toc12719821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_Toc127198216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7"/>
                <w:vanish w:val="false"/>
                <w:sz w:val="24"/>
                <w:szCs w:val="24"/>
              </w:rPr>
              <w:t>Таблица 2. Требования к срокам оказания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rPr/>
          </w:pPr>
          <w:hyperlink w:anchor="_Toc127198217">
            <w:r>
              <w:rPr>
                <w:webHidden/>
                <w:rStyle w:val="Style17"/>
                <w:iCs/>
                <w:vanish w:val="false"/>
                <w:sz w:val="24"/>
                <w:szCs w:val="24"/>
              </w:rPr>
              <w:t>2.2.</w:t>
            </w:r>
            <w:r>
              <w:rPr>
                <w:rStyle w:val="Style17"/>
                <w:rFonts w:eastAsia="" w:cs="" w:cstheme="minorBidi" w:eastAsiaTheme="minorEastAsia"/>
                <w:bCs w:val="false"/>
                <w:sz w:val="24"/>
                <w:szCs w:val="24"/>
              </w:rPr>
              <w:tab/>
            </w:r>
            <w:r>
              <w:rPr>
                <w:rStyle w:val="Style17"/>
                <w:sz w:val="24"/>
                <w:szCs w:val="2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_Toc127198217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vanish w:val="false"/>
                <w:sz w:val="24"/>
                <w:szCs w:val="2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20"/>
              <w:tab w:val="right" w:pos="9911" w:leader="dot"/>
            </w:tabs>
            <w:rPr/>
          </w:pPr>
          <w:hyperlink w:anchor="_Toc12719821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_Toc127198218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7"/>
                <w:vanish w:val="false"/>
                <w:sz w:val="24"/>
                <w:szCs w:val="24"/>
              </w:rPr>
              <w:t>Таблица 3. 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rPr>
              <w:vanish w:val="false"/>
              <w:sz w:val="24"/>
              <w:szCs w:val="24"/>
            </w:rPr>
          </w:pPr>
          <w:r>
            <w:rPr>
              <w:vanish w:val="false"/>
              <w:sz w:val="24"/>
              <w:szCs w:val="24"/>
            </w:rPr>
          </w:r>
          <w:r>
            <w:rPr>
              <w:sz w:val="24"/>
              <w:szCs w:val="24"/>
              <w:vanish w:val="false"/>
            </w:rPr>
            <w:fldChar w:fldCharType="end"/>
          </w:r>
        </w:p>
      </w:sdtContent>
    </w:sdt>
    <w:p>
      <w:pPr>
        <w:pStyle w:val="Heading1"/>
        <w:numPr>
          <w:ilvl w:val="0"/>
          <w:numId w:val="3"/>
        </w:numPr>
        <w:ind w:left="0" w:hanging="0"/>
        <w:rPr>
          <w:rFonts w:ascii="Times New Roman" w:hAnsi="Times New Roman"/>
          <w:sz w:val="24"/>
          <w:szCs w:val="24"/>
        </w:rPr>
      </w:pPr>
      <w:r>
        <w:br w:type="page"/>
      </w:r>
      <w:bookmarkStart w:id="0" w:name="_Toc54643694"/>
      <w:bookmarkStart w:id="1" w:name="_Toc127198201"/>
      <w:r>
        <w:rPr>
          <w:sz w:val="24"/>
          <w:szCs w:val="24"/>
        </w:rPr>
        <w:t>Общие сведения</w:t>
      </w:r>
      <w:bookmarkEnd w:id="0"/>
      <w:bookmarkEnd w:id="1"/>
    </w:p>
    <w:p>
      <w:pPr>
        <w:pStyle w:val="Heading2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bookmarkStart w:id="2" w:name="_Toc46743505"/>
      <w:bookmarkStart w:id="3" w:name="_Toc54643695"/>
      <w:bookmarkStart w:id="4" w:name="_Toc127198202"/>
      <w:r>
        <w:rPr>
          <w:sz w:val="24"/>
          <w:szCs w:val="24"/>
        </w:rPr>
        <w:t>Обозначения и сокращения</w:t>
      </w:r>
      <w:bookmarkEnd w:id="2"/>
      <w:bookmarkEnd w:id="3"/>
      <w:bookmarkEnd w:id="4"/>
    </w:p>
    <w:tbl>
      <w:tblPr>
        <w:tblW w:w="102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45"/>
        <w:gridCol w:w="6204"/>
      </w:tblGrid>
      <w:tr>
        <w:trPr>
          <w:cantSplit w:val="true"/>
        </w:trPr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ТО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Техническое обслуживание</w:t>
            </w:r>
          </w:p>
        </w:tc>
      </w:tr>
      <w:tr>
        <w:trPr>
          <w:cantSplit w:val="true"/>
        </w:trPr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9"/>
              <w:widowControl w:val="false"/>
              <w:shd w:val="clear" w:color="auto" w:fill="auto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9"/>
              <w:widowControl w:val="false"/>
              <w:shd w:val="clear" w:color="auto" w:fill="auto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ТС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</w:tr>
      <w:tr>
        <w:trPr>
          <w:cantSplit w:val="true"/>
        </w:trPr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</w:tbl>
    <w:p>
      <w:pPr>
        <w:pStyle w:val="Normal"/>
        <w:rPr>
          <w:rFonts w:ascii="Times New Roman" w:hAnsi="Times New Roman"/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rFonts w:ascii="Times New Roman" w:hAnsi="Times New Roman"/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rFonts w:ascii="Times New Roman" w:hAnsi="Times New Roman"/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rFonts w:ascii="Times New Roman" w:hAnsi="Times New Roman"/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rFonts w:ascii="Times New Roman" w:hAnsi="Times New Roman"/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rFonts w:ascii="Times New Roman" w:hAnsi="Times New Roman"/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rFonts w:ascii="Times New Roman" w:hAnsi="Times New Roman"/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rFonts w:ascii="Times New Roman" w:hAnsi="Times New Roman"/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rFonts w:ascii="Times New Roman" w:hAnsi="Times New Roman"/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rFonts w:ascii="Times New Roman" w:hAnsi="Times New Roman"/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rFonts w:ascii="Times New Roman" w:hAnsi="Times New Roman"/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rFonts w:ascii="Times New Roman" w:hAnsi="Times New Roman"/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rFonts w:ascii="Times New Roman" w:hAnsi="Times New Roman"/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rFonts w:ascii="Times New Roman" w:hAnsi="Times New Roman"/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rFonts w:ascii="Times New Roman" w:hAnsi="Times New Roman"/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rFonts w:ascii="Times New Roman" w:hAnsi="Times New Roman"/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rFonts w:ascii="Times New Roman" w:hAnsi="Times New Roman"/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rFonts w:ascii="Times New Roman" w:hAnsi="Times New Roman"/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rFonts w:ascii="Times New Roman" w:hAnsi="Times New Roman"/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rFonts w:ascii="Times New Roman" w:hAnsi="Times New Roman"/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rFonts w:ascii="Times New Roman" w:hAnsi="Times New Roman"/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rFonts w:ascii="Times New Roman" w:hAnsi="Times New Roman"/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rFonts w:ascii="Times New Roman" w:hAnsi="Times New Roman"/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rFonts w:ascii="Times New Roman" w:hAnsi="Times New Roman"/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rFonts w:ascii="Times New Roman" w:hAnsi="Times New Roman"/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rFonts w:ascii="Times New Roman" w:hAnsi="Times New Roman"/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rFonts w:ascii="Times New Roman" w:hAnsi="Times New Roman"/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rFonts w:ascii="Times New Roman" w:hAnsi="Times New Roman"/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rFonts w:ascii="Times New Roman" w:hAnsi="Times New Roman"/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rFonts w:ascii="Times New Roman" w:hAnsi="Times New Roman"/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rFonts w:ascii="Times New Roman" w:hAnsi="Times New Roman"/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rFonts w:ascii="Times New Roman" w:hAnsi="Times New Roman"/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rFonts w:ascii="Times New Roman" w:hAnsi="Times New Roman"/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rFonts w:ascii="Times New Roman" w:hAnsi="Times New Roman"/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rFonts w:ascii="Times New Roman" w:hAnsi="Times New Roman"/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rFonts w:ascii="Times New Roman" w:hAnsi="Times New Roman"/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rFonts w:ascii="Times New Roman" w:hAnsi="Times New Roman"/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rFonts w:ascii="Times New Roman" w:hAnsi="Times New Roman"/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rFonts w:ascii="Times New Roman" w:hAnsi="Times New Roman"/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rFonts w:ascii="Times New Roman" w:hAnsi="Times New Roman"/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rFonts w:ascii="Times New Roman" w:hAnsi="Times New Roman"/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rFonts w:ascii="Times New Roman" w:hAnsi="Times New Roman"/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rFonts w:ascii="Times New Roman" w:hAnsi="Times New Roman"/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rFonts w:ascii="Times New Roman" w:hAnsi="Times New Roman"/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rFonts w:ascii="Times New Roman" w:hAnsi="Times New Roman"/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rFonts w:ascii="Times New Roman" w:hAnsi="Times New Roman"/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rFonts w:ascii="Times New Roman" w:hAnsi="Times New Roman"/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Heading2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bookmarkStart w:id="5" w:name="_Toc127198203"/>
      <w:bookmarkStart w:id="6" w:name="_Toc46743506"/>
      <w:bookmarkStart w:id="7" w:name="_Toc54643696"/>
      <w:r>
        <w:rPr>
          <w:sz w:val="24"/>
          <w:szCs w:val="24"/>
        </w:rPr>
        <w:t>Наименование закупаемой продукции</w:t>
      </w:r>
      <w:bookmarkEnd w:id="6"/>
      <w:bookmarkEnd w:id="7"/>
      <w:r>
        <w:rPr>
          <w:sz w:val="24"/>
          <w:szCs w:val="24"/>
          <w:lang w:val="ru-RU"/>
        </w:rPr>
        <w:t>.</w:t>
      </w:r>
      <w:bookmarkEnd w:id="5"/>
    </w:p>
    <w:p>
      <w:pPr>
        <w:pStyle w:val="19"/>
        <w:shd w:val="clear" w:color="auto" w:fill="auto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ОКПД 2: 45.20.11 Оказание услуг по ремонту и техническому обслуживанию автотранспортных средств марки (ГАЗ, ВАЗ, Рено) Кабардино-Балкарского производственного участка Северо-Кавказского филиала.</w:t>
      </w:r>
      <w:bookmarkStart w:id="8" w:name="_Toc54643697"/>
    </w:p>
    <w:p>
      <w:pPr>
        <w:pStyle w:val="Heading2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bookmarkStart w:id="9" w:name="_Toc127198204"/>
      <w:bookmarkStart w:id="10" w:name="_Toc46743507"/>
      <w:r>
        <w:rPr>
          <w:sz w:val="24"/>
          <w:szCs w:val="24"/>
        </w:rPr>
        <w:t xml:space="preserve">Цель </w:t>
      </w:r>
      <w:bookmarkEnd w:id="10"/>
      <w:r>
        <w:rPr>
          <w:sz w:val="24"/>
          <w:szCs w:val="24"/>
        </w:rPr>
        <w:t>оказания услуг</w:t>
      </w:r>
      <w:bookmarkEnd w:id="9"/>
      <w:r>
        <w:rPr>
          <w:sz w:val="24"/>
          <w:szCs w:val="24"/>
        </w:rPr>
        <w:t xml:space="preserve"> </w:t>
      </w:r>
      <w:bookmarkEnd w:id="8"/>
    </w:p>
    <w:p>
      <w:pPr>
        <w:pStyle w:val="Normal"/>
        <w:tabs>
          <w:tab w:val="clear" w:pos="720"/>
          <w:tab w:val="left" w:pos="567" w:leader="none"/>
        </w:tabs>
        <w:jc w:val="both"/>
        <w:rPr/>
      </w:pPr>
      <w:r>
        <w:rPr>
          <w:bCs/>
          <w:sz w:val="24"/>
          <w:szCs w:val="24"/>
        </w:rPr>
        <w:t xml:space="preserve">Содержание транспортных средств </w:t>
      </w:r>
      <w:r>
        <w:rPr>
          <w:sz w:val="24"/>
          <w:szCs w:val="24"/>
        </w:rPr>
        <w:t>Кабардино-Балкарского производственного участка</w:t>
      </w:r>
      <w:r>
        <w:rPr>
          <w:bCs/>
          <w:sz w:val="24"/>
          <w:szCs w:val="24"/>
        </w:rPr>
        <w:t xml:space="preserve"> Северо-Кавказского филиала АО «Гидроремонт-ВКК» в с. Заюково в технически исправном состоянии, проведе</w:t>
      </w:r>
      <w:r>
        <w:rPr>
          <w:bCs/>
          <w:color w:val="auto"/>
          <w:sz w:val="24"/>
          <w:szCs w:val="24"/>
        </w:rPr>
        <w:t xml:space="preserve">ние своевременного и качественного технического обслуживания и ремонта, обеспечение </w:t>
      </w:r>
      <w:r>
        <w:rPr>
          <w:color w:val="auto"/>
          <w:sz w:val="24"/>
          <w:szCs w:val="24"/>
        </w:rPr>
        <w:t>работоспособности и безопасной эксплуатации автомобилей.</w:t>
      </w:r>
      <w:r>
        <w:rPr>
          <w:bCs/>
          <w:color w:val="auto"/>
          <w:sz w:val="24"/>
          <w:szCs w:val="24"/>
        </w:rPr>
        <w:t xml:space="preserve"> </w:t>
      </w:r>
    </w:p>
    <w:p>
      <w:pPr>
        <w:pStyle w:val="Normal"/>
        <w:tabs>
          <w:tab w:val="clear" w:pos="720"/>
          <w:tab w:val="left" w:pos="567" w:leader="none"/>
        </w:tabs>
        <w:jc w:val="both"/>
        <w:rPr/>
      </w:pPr>
      <w:r>
        <w:rPr>
          <w:bCs/>
          <w:sz w:val="24"/>
          <w:szCs w:val="24"/>
        </w:rPr>
        <w:t>П</w:t>
      </w:r>
      <w:r>
        <w:rPr>
          <w:sz w:val="24"/>
          <w:szCs w:val="24"/>
        </w:rPr>
        <w:t>одготовка транспортных средств к эксплуатации в весенне-летний и осенне-зимний периоды.</w:t>
      </w:r>
      <w:bookmarkStart w:id="11" w:name="_Toc127198205"/>
      <w:bookmarkEnd w:id="11"/>
    </w:p>
    <w:p>
      <w:pPr>
        <w:pStyle w:val="Normal"/>
        <w:tabs>
          <w:tab w:val="clear" w:pos="720"/>
          <w:tab w:val="left" w:pos="567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3"/>
        </w:numPr>
        <w:ind w:left="0" w:hanging="0"/>
        <w:jc w:val="center"/>
        <w:rPr/>
      </w:pPr>
      <w:bookmarkStart w:id="12" w:name="_Toc51339693"/>
      <w:bookmarkStart w:id="13" w:name="_Toc127198211"/>
      <w:bookmarkStart w:id="14" w:name="_Toc54643702"/>
      <w:r>
        <w:rPr>
          <w:b/>
          <w:bCs/>
          <w:sz w:val="24"/>
          <w:szCs w:val="24"/>
          <w:lang w:val="ru-RU"/>
        </w:rPr>
        <w:t>Требования</w:t>
      </w:r>
      <w:r>
        <w:rPr>
          <w:b/>
          <w:bCs/>
          <w:sz w:val="24"/>
          <w:szCs w:val="24"/>
        </w:rPr>
        <w:t xml:space="preserve"> к продукци</w:t>
      </w:r>
      <w:bookmarkEnd w:id="12"/>
      <w:bookmarkEnd w:id="13"/>
      <w:bookmarkEnd w:id="14"/>
      <w:r>
        <w:rPr>
          <w:b/>
          <w:bCs/>
          <w:sz w:val="24"/>
          <w:szCs w:val="24"/>
        </w:rPr>
        <w:t>и</w:t>
      </w:r>
    </w:p>
    <w:p>
      <w:pPr>
        <w:pStyle w:val="Normal"/>
        <w:ind w:left="0" w:hanging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ind w:left="0" w:hanging="0"/>
        <w:jc w:val="left"/>
        <w:rPr/>
      </w:pPr>
      <w:r>
        <w:rPr>
          <w:b/>
          <w:bCs/>
          <w:sz w:val="24"/>
          <w:szCs w:val="24"/>
        </w:rPr>
        <w:t>2.1 Требования к объемам и срокам оказания услуг</w:t>
      </w:r>
    </w:p>
    <w:p>
      <w:pPr>
        <w:pStyle w:val="Heading2"/>
        <w:numPr>
          <w:ilvl w:val="2"/>
          <w:numId w:val="3"/>
        </w:numPr>
        <w:ind w:left="0" w:hanging="0"/>
        <w:jc w:val="left"/>
        <w:rPr>
          <w:b/>
          <w:bCs/>
        </w:rPr>
      </w:pPr>
      <w:bookmarkStart w:id="15" w:name="_Toc127198212"/>
      <w:bookmarkStart w:id="16" w:name="_Toc54643703"/>
      <w:r>
        <w:rPr>
          <w:b/>
          <w:bCs/>
          <w:sz w:val="24"/>
          <w:szCs w:val="24"/>
        </w:rPr>
        <w:t xml:space="preserve"> </w:t>
      </w:r>
      <w:bookmarkEnd w:id="15"/>
      <w:bookmarkEnd w:id="16"/>
      <w:r>
        <w:rPr>
          <w:b/>
          <w:bCs/>
          <w:sz w:val="24"/>
          <w:szCs w:val="24"/>
        </w:rPr>
        <w:t>Требования к перечню и объему услуг</w:t>
      </w:r>
    </w:p>
    <w:p>
      <w:pPr>
        <w:pStyle w:val="Heading1"/>
        <w:numPr>
          <w:ilvl w:val="0"/>
          <w:numId w:val="0"/>
        </w:numPr>
        <w:ind w:left="426" w:hanging="426"/>
        <w:jc w:val="left"/>
        <w:rPr>
          <w:b/>
          <w:bCs/>
        </w:rPr>
      </w:pPr>
      <w:bookmarkStart w:id="17" w:name="_Toc127198214"/>
      <w:bookmarkStart w:id="18" w:name="_Toc54643705"/>
      <w:bookmarkStart w:id="19" w:name="_Toc51339695"/>
      <w:r>
        <w:rPr>
          <w:b/>
          <w:bCs/>
          <w:sz w:val="24"/>
          <w:szCs w:val="24"/>
        </w:rPr>
        <w:t xml:space="preserve">Таблица 1. Перечень </w:t>
      </w:r>
      <w:bookmarkEnd w:id="19"/>
      <w:r>
        <w:rPr>
          <w:b/>
          <w:bCs/>
          <w:sz w:val="24"/>
          <w:szCs w:val="24"/>
        </w:rPr>
        <w:t>и объем оказываемых услуг</w:t>
      </w:r>
      <w:bookmarkEnd w:id="17"/>
      <w:bookmarkEnd w:id="18"/>
    </w:p>
    <w:tbl>
      <w:tblPr>
        <w:tblW w:w="10325" w:type="dxa"/>
        <w:jc w:val="left"/>
        <w:tblInd w:w="-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03"/>
        <w:gridCol w:w="4951"/>
        <w:gridCol w:w="2318"/>
        <w:gridCol w:w="2552"/>
      </w:tblGrid>
      <w:tr>
        <w:trPr/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Style3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349" w:hRule="atLeast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49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</w:t>
            </w:r>
          </w:p>
        </w:tc>
        <w:tc>
          <w:tcPr>
            <w:tcW w:w="23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 2: 45.20.11 Оказание услуг по ремонту и техническому обслуживанию автотранспортных средств марки (ГАЗ, ВАЗ, Рено) Кабардино-Балкарского производственного участка Северо-Кавказского филиала*</w:t>
            </w:r>
          </w:p>
        </w:tc>
        <w:tc>
          <w:tcPr>
            <w:tcW w:w="23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7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7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Условная единица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7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7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  <w:r>
              <w:rPr>
                <w:sz w:val="24"/>
                <w:szCs w:val="24"/>
              </w:rPr>
              <w:t>1</w:t>
            </w:r>
          </w:p>
        </w:tc>
      </w:tr>
    </w:tbl>
    <w:p>
      <w:pPr>
        <w:pStyle w:val="Normal"/>
        <w:numPr>
          <w:ilvl w:val="0"/>
          <w:numId w:val="0"/>
        </w:numPr>
        <w:ind w:left="426" w:hanging="426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426" w:hanging="426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*Перечень автотранспортных средств Кабардино-Балкарского производственного участка Северо-Кавказского филиала, подлежащих ремонту и техническому обслуживанию</w:t>
      </w:r>
    </w:p>
    <w:p>
      <w:pPr>
        <w:pStyle w:val="Normal"/>
        <w:numPr>
          <w:ilvl w:val="0"/>
          <w:numId w:val="0"/>
        </w:numPr>
        <w:ind w:left="426" w:hanging="426"/>
        <w:jc w:val="left"/>
        <w:rPr>
          <w:rFonts w:ascii="Times New Roman" w:hAnsi="Times New Roman"/>
          <w:b w:val="false"/>
          <w:bCs w:val="false"/>
          <w:sz w:val="24"/>
          <w:szCs w:val="24"/>
          <w:lang w:val="x-none" w:eastAsia="x-none"/>
        </w:rPr>
      </w:pPr>
      <w:r>
        <w:rPr>
          <w:b w:val="false"/>
          <w:bCs w:val="false"/>
          <w:sz w:val="24"/>
          <w:szCs w:val="24"/>
          <w:lang w:val="x-none" w:eastAsia="x-none"/>
        </w:rPr>
      </w:r>
    </w:p>
    <w:tbl>
      <w:tblPr>
        <w:tblW w:w="103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42"/>
        <w:gridCol w:w="1551"/>
        <w:gridCol w:w="1568"/>
        <w:gridCol w:w="1083"/>
        <w:gridCol w:w="1984"/>
        <w:gridCol w:w="3685"/>
      </w:tblGrid>
      <w:tr>
        <w:trPr>
          <w:trHeight w:val="300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Марка автомобиля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Гос.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номер автомобиля</w:t>
            </w:r>
          </w:p>
        </w:tc>
        <w:tc>
          <w:tcPr>
            <w:tcW w:w="10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Год выпуска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 пробега на 202</w:t>
            </w:r>
            <w:r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год км. Исходя из факта 202</w:t>
            </w:r>
            <w:r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 xml:space="preserve"> года.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Перечень работ по ремонту и техническому обслуживанию</w:t>
            </w:r>
          </w:p>
        </w:tc>
      </w:tr>
      <w:tr>
        <w:trPr>
          <w:trHeight w:val="912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РЕНО ДАСТЕР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С989ММ07</w:t>
            </w:r>
          </w:p>
        </w:tc>
        <w:tc>
          <w:tcPr>
            <w:tcW w:w="10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30000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ТО –2 раза; текущий ремонт; замер токсичности и дымности отходящих газов – 2 раза в год</w:t>
            </w:r>
          </w:p>
        </w:tc>
      </w:tr>
      <w:tr>
        <w:trPr>
          <w:trHeight w:val="799" w:hRule="atLeast"/>
        </w:trPr>
        <w:tc>
          <w:tcPr>
            <w:tcW w:w="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ГАЗ-330232 107л.с. (бензин)</w:t>
            </w:r>
          </w:p>
        </w:tc>
        <w:tc>
          <w:tcPr>
            <w:tcW w:w="15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С983ММ07</w:t>
            </w:r>
          </w:p>
        </w:tc>
        <w:tc>
          <w:tcPr>
            <w:tcW w:w="10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31000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ТО –3 раза; текущий ремонт; замер токсичности и дымности отходящих газов – 2 раза в год</w:t>
            </w:r>
          </w:p>
        </w:tc>
      </w:tr>
      <w:tr>
        <w:trPr>
          <w:trHeight w:val="170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ГАЗ-330232 10</w:t>
            </w:r>
            <w:r>
              <w:rPr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color w:val="000000"/>
                <w:sz w:val="24"/>
                <w:szCs w:val="24"/>
              </w:rPr>
              <w:t>л.с. (бензин)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С790ММ07</w:t>
            </w:r>
          </w:p>
        </w:tc>
        <w:tc>
          <w:tcPr>
            <w:tcW w:w="10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34500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ТО –4 раза; текущий ремонт; замер токсичности и дымности отходящих газов – 2 раза в год</w:t>
            </w:r>
          </w:p>
        </w:tc>
      </w:tr>
      <w:tr>
        <w:trPr>
          <w:trHeight w:val="170" w:hRule="atLeast"/>
        </w:trPr>
        <w:tc>
          <w:tcPr>
            <w:tcW w:w="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ГАЗ-330232 10</w:t>
            </w:r>
            <w:r>
              <w:rPr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color w:val="000000"/>
                <w:sz w:val="24"/>
                <w:szCs w:val="24"/>
              </w:rPr>
              <w:t>л.с. (бензин)</w:t>
            </w:r>
          </w:p>
        </w:tc>
        <w:tc>
          <w:tcPr>
            <w:tcW w:w="15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С930ММ07</w:t>
            </w:r>
          </w:p>
        </w:tc>
        <w:tc>
          <w:tcPr>
            <w:tcW w:w="10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33500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ТО –4 раза; текущий ремонт; замер токсичности и дымности отходящих газов – 2 раза в год</w:t>
            </w:r>
          </w:p>
        </w:tc>
      </w:tr>
      <w:tr>
        <w:trPr>
          <w:trHeight w:val="170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ГАЗ -3221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С396ММ07</w:t>
            </w:r>
          </w:p>
        </w:tc>
        <w:tc>
          <w:tcPr>
            <w:tcW w:w="10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30500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ТО –3 раза; текущий ремонт; замер токсичности и дымности отходящих газов – 2 раза в год</w:t>
            </w:r>
          </w:p>
        </w:tc>
      </w:tr>
      <w:tr>
        <w:trPr>
          <w:trHeight w:val="170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Нива -Шевроле ВАЗ 2123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79,6 л/с (бензин)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А257ЕЕ07</w:t>
            </w:r>
          </w:p>
        </w:tc>
        <w:tc>
          <w:tcPr>
            <w:tcW w:w="10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27000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ТО –2 раза; текущий ремонт; замер токсичности и дымности отходящих газов – 2 раза в год</w:t>
            </w:r>
          </w:p>
        </w:tc>
      </w:tr>
      <w:tr>
        <w:trPr>
          <w:trHeight w:val="170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ЛАДА ЛАРГУС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С903ММ07</w:t>
            </w:r>
          </w:p>
        </w:tc>
        <w:tc>
          <w:tcPr>
            <w:tcW w:w="10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40000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ТО –3 раза; текущий ремонт; замер токсичности и дымности отходящих газов – 2 раза в год</w:t>
            </w:r>
          </w:p>
        </w:tc>
      </w:tr>
      <w:tr>
        <w:trPr>
          <w:trHeight w:val="170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ЛАДА ЛАРГУС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С361ММ07</w:t>
            </w:r>
          </w:p>
        </w:tc>
        <w:tc>
          <w:tcPr>
            <w:tcW w:w="10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30000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ТО –4 раза; текущий ремонт; замер токсичности и дымности отходящих газов – 2 раза в год</w:t>
            </w:r>
          </w:p>
        </w:tc>
      </w:tr>
      <w:tr>
        <w:trPr>
          <w:trHeight w:val="170" w:hRule="atLeast"/>
        </w:trPr>
        <w:tc>
          <w:tcPr>
            <w:tcW w:w="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2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val="ru-RU"/>
              </w:rPr>
              <w:t>ВАЗ 212140</w:t>
            </w:r>
          </w:p>
        </w:tc>
        <w:tc>
          <w:tcPr>
            <w:tcW w:w="15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color w:val="000000"/>
                <w:sz w:val="24"/>
                <w:szCs w:val="24"/>
                <w:lang w:val="ru-RU"/>
              </w:rPr>
              <w:t>С636ММ07</w:t>
            </w:r>
          </w:p>
        </w:tc>
        <w:tc>
          <w:tcPr>
            <w:tcW w:w="10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2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2011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30000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ТО –2 раза; текущий ремонт; замер токсичности и дымности отходящих газов – 2 раза в год</w:t>
            </w:r>
          </w:p>
        </w:tc>
      </w:tr>
      <w:tr>
        <w:trPr>
          <w:trHeight w:val="170" w:hRule="atLeast"/>
        </w:trPr>
        <w:tc>
          <w:tcPr>
            <w:tcW w:w="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-113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2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val="ru-RU"/>
              </w:rPr>
              <w:t>ВАЗ 2114</w:t>
            </w:r>
          </w:p>
        </w:tc>
        <w:tc>
          <w:tcPr>
            <w:tcW w:w="15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color w:val="000000"/>
                <w:sz w:val="24"/>
                <w:szCs w:val="24"/>
                <w:lang w:val="ru-RU"/>
              </w:rPr>
              <w:t>С597ММ07</w:t>
            </w:r>
          </w:p>
        </w:tc>
        <w:tc>
          <w:tcPr>
            <w:tcW w:w="10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2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2011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35000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ТО –2 раза; текущий ремонт; замер токсичности и дымности отходящих газов – 2 раза в год</w:t>
            </w:r>
          </w:p>
        </w:tc>
      </w:tr>
    </w:tbl>
    <w:p>
      <w:pPr>
        <w:pStyle w:val="Normal"/>
        <w:rPr>
          <w:rFonts w:ascii="Times New Roman" w:hAnsi="Times New Roman"/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3"/>
        <w:numPr>
          <w:ilvl w:val="2"/>
          <w:numId w:val="3"/>
        </w:numPr>
        <w:ind w:left="0" w:hanging="0"/>
        <w:rPr>
          <w:rFonts w:ascii="Times New Roman" w:hAnsi="Times New Roman"/>
          <w:sz w:val="24"/>
          <w:szCs w:val="24"/>
        </w:rPr>
      </w:pPr>
      <w:bookmarkStart w:id="20" w:name="_Toc127198215"/>
      <w:bookmarkStart w:id="21" w:name="_Toc51339696"/>
      <w:r>
        <w:rPr>
          <w:sz w:val="24"/>
          <w:szCs w:val="24"/>
        </w:rPr>
        <w:t>Требования</w:t>
      </w:r>
      <w:bookmarkEnd w:id="21"/>
      <w:r>
        <w:rPr>
          <w:sz w:val="24"/>
          <w:szCs w:val="24"/>
        </w:rPr>
        <w:t xml:space="preserve"> к срокам оказания услуг</w:t>
      </w:r>
      <w:bookmarkEnd w:id="20"/>
    </w:p>
    <w:p>
      <w:pPr>
        <w:pStyle w:val="Heading1"/>
        <w:numPr>
          <w:ilvl w:val="0"/>
          <w:numId w:val="0"/>
        </w:numPr>
        <w:ind w:left="426" w:hanging="426"/>
        <w:rPr>
          <w:rFonts w:ascii="Times New Roman" w:hAnsi="Times New Roman"/>
          <w:sz w:val="24"/>
          <w:szCs w:val="24"/>
        </w:rPr>
      </w:pPr>
      <w:bookmarkStart w:id="22" w:name="_Toc127198216"/>
      <w:bookmarkStart w:id="23" w:name="_Toc54643707"/>
      <w:bookmarkStart w:id="24" w:name="_Toc50125127"/>
      <w:bookmarkStart w:id="25" w:name="_Toc51339697"/>
      <w:r>
        <w:rPr>
          <w:sz w:val="24"/>
          <w:szCs w:val="24"/>
        </w:rPr>
        <w:t xml:space="preserve">Таблица 2 </w:t>
      </w:r>
      <w:bookmarkStart w:id="26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24"/>
      <w:bookmarkEnd w:id="25"/>
      <w:bookmarkEnd w:id="26"/>
      <w:r>
        <w:rPr>
          <w:sz w:val="24"/>
          <w:szCs w:val="24"/>
          <w:lang w:val="ru-RU"/>
        </w:rPr>
        <w:t>оказания услуг</w:t>
      </w:r>
      <w:bookmarkEnd w:id="22"/>
      <w:bookmarkEnd w:id="23"/>
    </w:p>
    <w:tbl>
      <w:tblPr>
        <w:tblW w:w="10348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9"/>
        <w:gridCol w:w="4254"/>
        <w:gridCol w:w="2552"/>
        <w:gridCol w:w="2692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ind w:left="36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9"/>
              <w:widowControl w:val="false"/>
              <w:shd w:val="clear" w:color="auto" w:fill="auto"/>
              <w:spacing w:lineRule="auto" w:line="240"/>
              <w:ind w:left="6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ОКПД 2: 45.20.11  Оказание услуг по ремонту и техническому обслуживанию автотранспортных средств марки (ГАЗ, ВАЗ, Рено) Кабардино-Балкарского производственного участка Северо-Кавказского филиала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До полного исполнения обязательств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widowControl/>
        <w:suppressAutoHyphens w:val="true"/>
        <w:bidi w:val="0"/>
        <w:spacing w:before="0" w:after="0"/>
        <w:ind w:left="113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bookmarkStart w:id="27" w:name="_Toc127198217"/>
      <w:r>
        <w:rPr>
          <w:sz w:val="24"/>
          <w:szCs w:val="24"/>
        </w:rPr>
        <w:t xml:space="preserve">Требования к </w:t>
      </w:r>
      <w:r>
        <w:rPr>
          <w:sz w:val="24"/>
          <w:szCs w:val="24"/>
          <w:lang w:val="ru-RU"/>
        </w:rPr>
        <w:t>качеству услуг</w:t>
      </w:r>
      <w:bookmarkEnd w:id="27"/>
    </w:p>
    <w:p>
      <w:pPr>
        <w:pStyle w:val="Heading1"/>
        <w:numPr>
          <w:ilvl w:val="0"/>
          <w:numId w:val="0"/>
        </w:numPr>
        <w:ind w:left="426" w:hanging="426"/>
        <w:jc w:val="left"/>
        <w:rPr>
          <w:rFonts w:ascii="Times New Roman" w:hAnsi="Times New Roman"/>
          <w:sz w:val="24"/>
          <w:szCs w:val="24"/>
        </w:rPr>
      </w:pPr>
      <w:bookmarkStart w:id="28" w:name="_Toc127198218"/>
      <w:r>
        <w:rPr>
          <w:sz w:val="24"/>
          <w:szCs w:val="24"/>
        </w:rPr>
        <w:t xml:space="preserve">Таблица 3. Требования к </w:t>
      </w:r>
      <w:r>
        <w:rPr>
          <w:sz w:val="24"/>
          <w:szCs w:val="24"/>
          <w:lang w:val="ru-RU"/>
        </w:rPr>
        <w:t>качеству услуг</w:t>
      </w:r>
      <w:bookmarkEnd w:id="28"/>
      <w:r>
        <w:rPr>
          <w:sz w:val="24"/>
          <w:szCs w:val="24"/>
        </w:rPr>
        <w:t xml:space="preserve">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услуг : </w:t>
      </w:r>
      <w:r>
        <w:rPr>
          <w:i/>
          <w:color w:val="000000" w:themeColor="text1"/>
          <w:sz w:val="24"/>
          <w:szCs w:val="24"/>
        </w:rPr>
        <w:t xml:space="preserve">в соответствии с Таблицей 1  ТТ «Перечень и объем оказываемых услуг» </w:t>
      </w:r>
    </w:p>
    <w:tbl>
      <w:tblPr>
        <w:tblStyle w:val="af"/>
        <w:tblW w:w="10348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7"/>
        <w:gridCol w:w="1695"/>
        <w:gridCol w:w="149"/>
        <w:gridCol w:w="7657"/>
      </w:tblGrid>
      <w:tr>
        <w:trPr>
          <w:trHeight w:val="580" w:hRule="atLeast"/>
        </w:trPr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184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76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84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76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outlineLvl w:val="1"/>
              <w:rPr>
                <w:sz w:val="24"/>
                <w:szCs w:val="24"/>
              </w:rPr>
            </w:pPr>
            <w:bookmarkStart w:id="29" w:name="_Toc127198219"/>
            <w:bookmarkEnd w:id="29"/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50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1"/>
              <w:rPr>
                <w:sz w:val="24"/>
                <w:szCs w:val="24"/>
              </w:rPr>
            </w:pPr>
            <w:bookmarkStart w:id="30" w:name="_Toc127198220"/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  <w:bookmarkEnd w:id="30"/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950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ind w:left="360" w:hanging="36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9501" w:type="dxa"/>
            <w:gridSpan w:val="3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tabs>
                <w:tab w:val="clear" w:pos="720"/>
                <w:tab w:val="left" w:pos="567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Услуги по ТО ТС должны включать работы: по диагностике, замене запчастей, ремонту и техническому обслуживанию транспортных средств Заказчика, согласно Перечень автотранспортных средств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ind w:left="360" w:hanging="36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4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Объем и место оказания услуг</w:t>
            </w:r>
          </w:p>
        </w:tc>
        <w:tc>
          <w:tcPr>
            <w:tcW w:w="7657" w:type="dxa"/>
            <w:tcBorders/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20"/>
                <w:tab w:val="left" w:pos="567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 xml:space="preserve">Оказываемые услуги (работы) по ремонту и техническому обслуживанию ТС, проводятся на сервисной базе Исполнителя </w:t>
            </w:r>
            <w:r>
              <w:rPr>
                <w:rFonts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расположенного в г. Нальчике, </w:t>
            </w: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с использованием собственного оборудования, расходных материалов и запасных частей Исполнителя.</w:t>
            </w:r>
          </w:p>
          <w:p>
            <w:pPr>
              <w:pStyle w:val="ListParagraph"/>
              <w:widowControl w:val="false"/>
              <w:tabs>
                <w:tab w:val="clear" w:pos="720"/>
                <w:tab w:val="left" w:pos="567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Фактический объем услуг определяется Заказчиком, исходя из его потребностей, на основании поданных заказ-нарядов.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950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</w:tr>
      <w:tr>
        <w:trPr>
          <w:trHeight w:val="1923" w:hRule="atLeast"/>
        </w:trPr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206" w:leader="none"/>
              </w:tabs>
              <w:suppressAutoHyphens w:val="true"/>
              <w:spacing w:before="0" w:after="0"/>
              <w:ind w:left="360" w:hanging="360"/>
              <w:contextualSpacing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84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Обязанности Исполнителя</w:t>
            </w:r>
          </w:p>
        </w:tc>
        <w:tc>
          <w:tcPr>
            <w:tcW w:w="7657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20"/>
                <w:tab w:val="left" w:pos="0" w:leader="none"/>
                <w:tab w:val="left" w:pos="567" w:leader="none"/>
              </w:tabs>
              <w:suppressAutoHyphens w:val="true"/>
              <w:spacing w:before="0" w:after="0"/>
              <w:ind w:left="0" w:hanging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Услуги должны быть выполнены в соответствии с РД03112178-1023-99 «Сборник норм времени на техническое обслуживание и ремонт легковых автомобилей»,  и соответствовать государственным стандартам, техническим условиям, сертификатам качества, иной нормативно-технической документации, подтверждающей качество продукции.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1.3</w:t>
            </w:r>
          </w:p>
        </w:tc>
        <w:tc>
          <w:tcPr>
            <w:tcW w:w="950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360" w:hanging="36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50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при оказании услуг должен использовать оригинальные запасные части, смазочные и других эксплуатационные и расходные материалы.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360" w:hanging="36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50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Запасные части, расходные материалы должны быть новыми, не иметь дефектов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1.4</w:t>
            </w:r>
          </w:p>
        </w:tc>
        <w:tc>
          <w:tcPr>
            <w:tcW w:w="950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360" w:hanging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50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должен иметь квалифицированный и аттестованный, на оказываемые услуги  персонал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360" w:hanging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50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оказании услуг персонал должен соблюдать правила и инструкции по охране труда,  пожарной и электробезопасности.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950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950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uppressAutoHyphens w:val="true"/>
              <w:spacing w:before="0" w:after="0"/>
              <w:ind w:left="360" w:hanging="36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50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ТС прошедшие техническое обслуживание и ремонт должны отвечать требованиям, регламентирующим техническое состояние и оборудование транспортных средств, участвующих в дорожном движении, в части, относящейся к обеспечению безопасности дорожного движения (Постановление Правительства РФ от 23.10.1993Г. №1090 «О  правилах дорожного движения»).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950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 использования результата оказания услуг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57" w:right="0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</w:t>
            </w:r>
          </w:p>
        </w:tc>
        <w:tc>
          <w:tcPr>
            <w:tcW w:w="950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Palatino Linotype" w:cs="Times New Roman"/>
                <w:kern w:val="0"/>
                <w:sz w:val="24"/>
                <w:szCs w:val="24"/>
                <w:lang w:val="ru-RU" w:eastAsia="en-US" w:bidi="ar-SA"/>
              </w:rPr>
              <w:t>Исполнитель обязан предоставлять гарантию на установленные запасные части, детали, агрегаты в течение срока гарантии, установленной заводом – изготовителем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2.3</w:t>
            </w:r>
          </w:p>
        </w:tc>
        <w:tc>
          <w:tcPr>
            <w:tcW w:w="950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true"/>
              <w:spacing w:before="0" w:after="0"/>
              <w:ind w:left="360" w:hanging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9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Приемка услуг</w:t>
            </w:r>
          </w:p>
        </w:tc>
        <w:tc>
          <w:tcPr>
            <w:tcW w:w="7806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Услуги считаются оказанными Исполнителем и принятыми Заказчиком с момента подписания Сторонами Акта сдачи-приемки Услуг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2.4</w:t>
            </w:r>
          </w:p>
        </w:tc>
        <w:tc>
          <w:tcPr>
            <w:tcW w:w="950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uppressAutoHyphens w:val="true"/>
              <w:spacing w:before="0" w:after="0"/>
              <w:ind w:left="360" w:hanging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Оформление документов</w:t>
            </w:r>
          </w:p>
        </w:tc>
        <w:tc>
          <w:tcPr>
            <w:tcW w:w="780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Акт сдачи-приемки Услуг в 2-х экземплярах должен быть представлен Исполнителем по окончанию ремонта ТС в месяце, в  котором они были оказаны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950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</w:tr>
      <w:tr>
        <w:trPr>
          <w:trHeight w:val="337" w:hRule="atLeast"/>
        </w:trPr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suppressAutoHyphens w:val="true"/>
              <w:bidi w:val="0"/>
              <w:spacing w:before="0" w:after="0"/>
              <w:ind w:left="170" w:right="0" w:hanging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169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обязан соблюдать</w:t>
            </w:r>
          </w:p>
        </w:tc>
        <w:tc>
          <w:tcPr>
            <w:tcW w:w="7806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Правила по охране труда на автомобильном транспорте (утв. Приказом Минтруда России от 18.12.2020 №871н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suppressAutoHyphens w:val="true"/>
              <w:bidi w:val="0"/>
              <w:spacing w:before="0" w:after="0"/>
              <w:ind w:left="170" w:right="0" w:hanging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16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806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both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Санитарные правила и нормы 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 (утв. постановлением Главного государственного санитарного врача Российской Федерации от 28 января 2021 года N 3</w:t>
            </w:r>
          </w:p>
        </w:tc>
      </w:tr>
      <w:tr>
        <w:trPr>
          <w:trHeight w:val="673" w:hRule="atLeast"/>
        </w:trPr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suppressAutoHyphens w:val="true"/>
              <w:bidi w:val="0"/>
              <w:spacing w:before="0" w:after="0"/>
              <w:ind w:left="-57" w:right="0" w:hanging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 xml:space="preserve">   </w:t>
            </w: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3.3</w:t>
            </w:r>
          </w:p>
        </w:tc>
        <w:tc>
          <w:tcPr>
            <w:tcW w:w="169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806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both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Законодательство РФ при эксплуатации, обслуживании и предоставлении транспортных средств, подъемных сооружении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950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32" w:leader="none"/>
              </w:tabs>
              <w:suppressAutoHyphens w:val="true"/>
              <w:bidi w:val="0"/>
              <w:spacing w:before="0" w:after="0"/>
              <w:ind w:left="-113" w:right="0" w:hanging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4.1</w:t>
            </w:r>
          </w:p>
        </w:tc>
        <w:tc>
          <w:tcPr>
            <w:tcW w:w="16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Ответственность Исполнителя</w:t>
            </w:r>
          </w:p>
        </w:tc>
        <w:tc>
          <w:tcPr>
            <w:tcW w:w="7806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Наличие сертификата соответствия на оказание услуг (работ) по ТО и ремонту транспортных средств;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Отсутствие признаков банкротства;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Отсутствие просроченной задолженности перед бюджетами всех уровней и внебюджетными фондами.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Отсутствие текущих судебных дел с Контрагентами по заключенным договорам.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9501" w:type="dxa"/>
            <w:gridSpan w:val="3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</w:tr>
      <w:tr>
        <w:trPr>
          <w:trHeight w:val="417" w:hRule="atLeast"/>
        </w:trPr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16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обязан иметь</w:t>
            </w:r>
          </w:p>
        </w:tc>
        <w:tc>
          <w:tcPr>
            <w:tcW w:w="780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Автосервис  в собственности или на правах аренды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950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Прочие требования к оказанию услуг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1695" w:type="dxa"/>
            <w:tcBorders/>
            <w:vAlign w:val="center"/>
          </w:tcPr>
          <w:p>
            <w:pPr>
              <w:pStyle w:val="Style30"/>
              <w:keepNext w:val="false"/>
              <w:widowControl w:val="false"/>
              <w:suppressAutoHyphens w:val="true"/>
              <w:spacing w:before="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  <w:t>Стоимость за 1 нормо/час</w:t>
            </w:r>
          </w:p>
        </w:tc>
        <w:tc>
          <w:tcPr>
            <w:tcW w:w="7806" w:type="dxa"/>
            <w:gridSpan w:val="2"/>
            <w:tcBorders/>
            <w:vAlign w:val="center"/>
          </w:tcPr>
          <w:p>
            <w:pPr>
              <w:pStyle w:val="Style30"/>
              <w:keepNext w:val="false"/>
              <w:widowControl w:val="false"/>
              <w:suppressAutoHyphens w:val="true"/>
              <w:spacing w:before="0" w:after="6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  <w:t>П</w:t>
            </w:r>
            <w:bookmarkStart w:id="31" w:name="_Toc125982018"/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  <w:t>о каждой единице ТС является фиксированной ценой на протяжении всего срока действия договора</w:t>
            </w:r>
            <w:bookmarkEnd w:id="31"/>
          </w:p>
        </w:tc>
      </w:tr>
    </w:tbl>
    <w:p>
      <w:pPr>
        <w:pStyle w:val="Normal"/>
        <w:jc w:val="center"/>
        <w:rPr>
          <w:rFonts w:ascii="Times New Roman" w:hAnsi="Times New Roman"/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Heading1"/>
        <w:numPr>
          <w:ilvl w:val="0"/>
          <w:numId w:val="3"/>
        </w:numPr>
        <w:spacing w:before="0" w:after="0"/>
        <w:ind w:left="0" w:hanging="4188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spacing w:lineRule="auto" w:line="240"/>
        <w:rPr>
          <w:rFonts w:ascii="Times New Roman" w:hAnsi="Times New Roman"/>
          <w:sz w:val="24"/>
          <w:szCs w:val="24"/>
        </w:rPr>
      </w:pPr>
      <w:r>
        <w:rPr/>
      </w:r>
    </w:p>
    <w:sectPr>
      <w:headerReference w:type="even" r:id="rId2"/>
      <w:headerReference w:type="default" r:id="rId3"/>
      <w:footerReference w:type="default" r:id="rId4"/>
      <w:type w:val="nextPage"/>
      <w:pgSz w:w="11906" w:h="16838"/>
      <w:pgMar w:left="1134" w:right="851" w:gutter="0" w:header="0" w:top="567" w:footer="0" w:bottom="567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647343940"/>
    </w:sdtPr>
    <w:sdtContent>
      <w:p>
        <w:pPr>
          <w:pStyle w:val="Footer"/>
          <w:jc w:val="right"/>
          <w:rPr>
            <w:sz w:val="24"/>
            <w:szCs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418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504" w:hanging="504"/>
      </w:pPr>
      <w:rPr>
        <w:i w:val="false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1.1.%1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1.2.%1"/>
      <w:lvlJc w:val="left"/>
      <w:pPr>
        <w:tabs>
          <w:tab w:val="num" w:pos="0"/>
        </w:tabs>
        <w:ind w:left="502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  <w:rPr/>
    </w:lvl>
  </w:abstractNum>
  <w:abstractNum w:abstractNumId="9">
    <w:lvl w:ilvl="0">
      <w:start w:val="1"/>
      <w:numFmt w:val="decimal"/>
      <w:lvlText w:val="1.3.%1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1.4.%1"/>
      <w:lvlJc w:val="left"/>
      <w:pPr>
        <w:tabs>
          <w:tab w:val="num" w:pos="0"/>
        </w:tabs>
        <w:ind w:left="74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6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8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0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2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4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6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8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05" w:hanging="180"/>
      </w:pPr>
      <w:rPr/>
    </w:lvl>
  </w:abstractNum>
  <w:abstractNum w:abstractNumId="11">
    <w:lvl w:ilvl="0">
      <w:start w:val="1"/>
      <w:numFmt w:val="decimal"/>
      <w:lvlText w:val="2.1.%1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">
    <w:lvl w:ilvl="0">
      <w:start w:val="1"/>
      <w:numFmt w:val="decimal"/>
      <w:lvlText w:val="2.4.%1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3">
    <w:lvl w:ilvl="0">
      <w:start w:val="1"/>
      <w:numFmt w:val="decimal"/>
      <w:lvlText w:val="2.3.%1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header" w:uiPriority="99"/>
    <w:lsdException w:name="footer" w:uiPriority="99"/>
    <w:lsdException w:name="caption" w:uiPriority="35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uiPriority="10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uiPriority="11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E-mail Signature" w:uiPriority="99"/>
    <w:lsdException w:name="Normal (Web)" w:uiPriority="99"/>
    <w:lsdException w:name="No List" w:uiPriority="99"/>
    <w:lsdException w:name="Table Grid" w:uiPriority="39" w:semiHidden="0" w:unhideWhenUsed="0"/>
    <w:lsdException w:name="Placeholder Text" w:uiPriority="99" w:unhideWhenUsed="0"/>
    <w:lsdException w:name="No Spacing" w:uiPriority="99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99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2a3f50"/>
    <w:pPr>
      <w:keepNext w:val="true"/>
      <w:numPr>
        <w:ilvl w:val="2"/>
        <w:numId w:val="3"/>
      </w:numPr>
      <w:tabs>
        <w:tab w:val="clear" w:pos="720"/>
        <w:tab w:val="left" w:pos="0" w:leader="none"/>
        <w:tab w:val="left" w:pos="567" w:leader="none"/>
        <w:tab w:val="left" w:pos="851" w:leader="none"/>
      </w:tabs>
      <w:spacing w:before="120" w:after="0"/>
      <w:ind w:left="0" w:hanging="0"/>
      <w:jc w:val="both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2a3f50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4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2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Основной текст_"/>
    <w:link w:val="19"/>
    <w:uiPriority w:val="99"/>
    <w:qFormat/>
    <w:locked/>
    <w:rsid w:val="003c12f6"/>
    <w:rPr>
      <w:sz w:val="28"/>
      <w:szCs w:val="28"/>
      <w:shd w:fill="FFFFFF" w:val="clear"/>
    </w:rPr>
  </w:style>
  <w:style w:type="character" w:styleId="Style15" w:customStyle="1">
    <w:name w:val="Нижний колонтитул Знак"/>
    <w:basedOn w:val="DefaultParagraphFont"/>
    <w:uiPriority w:val="99"/>
    <w:qFormat/>
    <w:rsid w:val="00fc560b"/>
    <w:rPr>
      <w:sz w:val="28"/>
      <w:szCs w:val="28"/>
    </w:rPr>
  </w:style>
  <w:style w:type="character" w:styleId="Style16" w:customStyle="1">
    <w:name w:val="Основной текст + Малые прописные"/>
    <w:uiPriority w:val="99"/>
    <w:qFormat/>
    <w:rsid w:val="00932916"/>
    <w:rPr>
      <w:rFonts w:ascii="Times New Roman" w:hAnsi="Times New Roman" w:cs="Times New Roman"/>
      <w:smallCaps/>
      <w:color w:val="000000"/>
      <w:spacing w:val="0"/>
      <w:w w:val="100"/>
      <w:sz w:val="28"/>
      <w:szCs w:val="28"/>
      <w:u w:val="none"/>
      <w:lang w:val="ru-RU" w:bidi="ar-SA"/>
    </w:rPr>
  </w:style>
  <w:style w:type="character" w:styleId="Style17">
    <w:name w:val="Ссылка указателя"/>
    <w:qFormat/>
    <w:rPr/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/>
  </w:style>
  <w:style w:type="paragraph" w:styleId="Style20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1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2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3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20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15"/>
    <w:uiPriority w:val="99"/>
    <w:rsid w:val="0076353a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4" w:customStyle="1">
    <w:name w:val="Подпункт"/>
    <w:basedOn w:val="Normal"/>
    <w:link w:val="11"/>
    <w:qFormat/>
    <w:rsid w:val="0076353a"/>
    <w:pPr>
      <w:tabs>
        <w:tab w:val="clear" w:pos="720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20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371bc6"/>
    <w:pPr>
      <w:tabs>
        <w:tab w:val="clear" w:pos="720"/>
        <w:tab w:val="left" w:pos="567" w:leader="none"/>
        <w:tab w:val="left" w:pos="1120" w:leader="none"/>
        <w:tab w:val="right" w:pos="9911" w:leader="dot"/>
      </w:tabs>
    </w:pPr>
    <w:rPr>
      <w:rFonts w:cs="Calibri" w:cstheme="minorHAnsi"/>
      <w:sz w:val="20"/>
      <w:szCs w:val="20"/>
    </w:rPr>
  </w:style>
  <w:style w:type="paragraph" w:styleId="Style25" w:customStyle="1">
    <w:name w:val="Раздел регламента"/>
    <w:basedOn w:val="Normal"/>
    <w:qFormat/>
    <w:rsid w:val="00e228fa"/>
    <w:pPr/>
    <w:rPr/>
  </w:style>
  <w:style w:type="paragraph" w:styleId="Style26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371bc6"/>
    <w:pPr>
      <w:tabs>
        <w:tab w:val="clear" w:pos="720"/>
        <w:tab w:val="left" w:pos="560" w:leader="none"/>
        <w:tab w:val="right" w:pos="9911" w:leader="dot"/>
      </w:tabs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20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7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99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99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8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8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9" w:customStyle="1">
    <w:name w:val="Пункт"/>
    <w:basedOn w:val="Normal"/>
    <w:qFormat/>
    <w:rsid w:val="00d22f6d"/>
    <w:pPr>
      <w:widowControl w:val="false"/>
      <w:tabs>
        <w:tab w:val="clear" w:pos="720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0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1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2" w:customStyle="1">
    <w:name w:val="Подподпункт"/>
    <w:basedOn w:val="Style24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3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4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suppressAutoHyphens w:val="true"/>
      <w:spacing w:before="480" w:after="240"/>
      <w:ind w:left="567" w:hanging="567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5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19" w:customStyle="1">
    <w:name w:val="Основной текст1"/>
    <w:basedOn w:val="Normal"/>
    <w:link w:val="Style14"/>
    <w:uiPriority w:val="99"/>
    <w:qFormat/>
    <w:rsid w:val="003c12f6"/>
    <w:pPr>
      <w:widowControl w:val="false"/>
      <w:shd w:val="clear" w:color="auto" w:fill="FFFFFF"/>
      <w:spacing w:lineRule="exact" w:line="302"/>
    </w:pPr>
    <w:rPr/>
  </w:style>
  <w:style w:type="paragraph" w:styleId="Default" w:customStyle="1">
    <w:name w:val="Default"/>
    <w:qFormat/>
    <w:rsid w:val="002d5c4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ru-RU" w:bidi="ar-SA"/>
    </w:rPr>
  </w:style>
  <w:style w:type="paragraph" w:styleId="Style36">
    <w:name w:val="Содержимое врезки"/>
    <w:basedOn w:val="Normal"/>
    <w:qFormat/>
    <w:pPr/>
    <w:rPr/>
  </w:style>
  <w:style w:type="paragraph" w:styleId="Style37">
    <w:name w:val="Содержимое таблицы"/>
    <w:basedOn w:val="Normal"/>
    <w:qFormat/>
    <w:pPr>
      <w:widowControl w:val="false"/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3740E-424D-4B96-A18E-E5B8050B1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Application>AlterOffice/3.4.0.9$Linux_X86_64 LibreOffice_project/b8daf9e823b1a5463a2f48435ddc2e8696e7d4fc</Application>
  <AppVersion>15.0000</AppVersion>
  <Pages>7</Pages>
  <Words>1138</Words>
  <Characters>7485</Characters>
  <CharactersWithSpaces>8456</CharactersWithSpaces>
  <Paragraphs>211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2023-02-14T12:21:00Z</dcterms:created>
  <dc:creator>Быстров Олег Геннадьевич</dc:creator>
  <dc:description/>
  <dc:language>ru-RU</dc:language>
  <cp:lastModifiedBy>bekanovzch@corp.gidroogk.com</cp:lastModifiedBy>
  <cp:lastPrinted>2023-02-13T05:20:00Z</cp:lastPrinted>
  <dcterms:modified xsi:type="dcterms:W3CDTF">2026-07-01T11:27:21Z</dcterms:modified>
  <cp:revision>27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