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00" w:after="0"/>
        <w:jc w:val="center"/>
        <w:rPr>
          <w:rFonts w:ascii="Times New Roman" w:hAnsi="Times New Roman"/>
          <w:color w:val="000000"/>
        </w:rPr>
      </w:pPr>
      <w:bookmarkStart w:id="0" w:name="техническое-задание"/>
      <w:bookmarkEnd w:id="0"/>
      <w:r>
        <w:rPr>
          <w:rFonts w:ascii="Times New Roman" w:hAnsi="Times New Roman"/>
          <w:color w:val="000000"/>
        </w:rPr>
        <w:t>ТЕХНИЧЕСКОЕ ЗАДАНИЕ</w:t>
      </w:r>
    </w:p>
    <w:p>
      <w:pPr>
        <w:pStyle w:val="Heading4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На выполнение работ по м</w:t>
      </w:r>
      <w:bookmarkStart w:id="1" w:name="Xa1facbb114676903fae832e6f34e5e5906f1145"/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одернизаци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и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 МАСЦО на территории Володарского муниципального округа Нижегородской области</w:t>
      </w:r>
    </w:p>
    <w:p>
      <w:pPr>
        <w:pStyle w:val="Normal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</w:r>
      <w:bookmarkStart w:id="2" w:name="техническое-задание"/>
      <w:bookmarkStart w:id="3" w:name="техническое-задание"/>
      <w:bookmarkEnd w:id="3"/>
      <w:bookmarkEnd w:id="1"/>
    </w:p>
    <w:p>
      <w:pPr>
        <w:pStyle w:val="Heading3"/>
        <w:rPr>
          <w:rFonts w:ascii="Times New Roman" w:hAnsi="Times New Roman"/>
          <w:color w:val="000000"/>
        </w:rPr>
      </w:pPr>
      <w:bookmarkStart w:id="4" w:name="принятые-термины-и-сокращения"/>
      <w:r>
        <w:rPr>
          <w:rFonts w:ascii="Times New Roman" w:hAnsi="Times New Roman"/>
          <w:b/>
          <w:bCs/>
          <w:color w:val="000000"/>
        </w:rPr>
        <w:t>Принятые термины и сокращения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АПК</w:t>
      </w:r>
      <w:r>
        <w:rPr>
          <w:rFonts w:ascii="Times New Roman" w:hAnsi="Times New Roman"/>
          <w:color w:val="000000"/>
        </w:rPr>
        <w:t xml:space="preserve"> — Аппаратно-программный комплекс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АРМ</w:t>
      </w:r>
      <w:r>
        <w:rPr>
          <w:rFonts w:ascii="Times New Roman" w:hAnsi="Times New Roman"/>
          <w:color w:val="000000"/>
        </w:rPr>
        <w:t xml:space="preserve"> — Автоматизированное рабочее место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ДДС</w:t>
      </w:r>
      <w:r>
        <w:rPr>
          <w:rFonts w:ascii="Times New Roman" w:hAnsi="Times New Roman"/>
          <w:color w:val="000000"/>
        </w:rPr>
        <w:t xml:space="preserve"> — Дежурно-диспетчерская служба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ЕДДС</w:t>
      </w:r>
      <w:r>
        <w:rPr>
          <w:rFonts w:ascii="Times New Roman" w:hAnsi="Times New Roman"/>
          <w:color w:val="000000"/>
        </w:rPr>
        <w:t xml:space="preserve"> — Единая дежурно-диспетчерская служба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ЕСЭС</w:t>
      </w:r>
      <w:r>
        <w:rPr>
          <w:rFonts w:ascii="Times New Roman" w:hAnsi="Times New Roman"/>
          <w:color w:val="000000"/>
        </w:rPr>
        <w:t xml:space="preserve"> — Единая сеть электросвязи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ЗИП</w:t>
      </w:r>
      <w:r>
        <w:rPr>
          <w:rFonts w:ascii="Times New Roman" w:hAnsi="Times New Roman"/>
          <w:color w:val="000000"/>
        </w:rPr>
        <w:t xml:space="preserve"> — Запасные части и комплектующие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КСОБЖН</w:t>
      </w:r>
      <w:r>
        <w:rPr>
          <w:rFonts w:ascii="Times New Roman" w:hAnsi="Times New Roman"/>
          <w:color w:val="000000"/>
        </w:rPr>
        <w:t xml:space="preserve"> — Комплексная система обеспечения безопасности жизнедеятельности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КСЭОН</w:t>
      </w:r>
      <w:r>
        <w:rPr>
          <w:rFonts w:ascii="Times New Roman" w:hAnsi="Times New Roman"/>
          <w:color w:val="000000"/>
        </w:rPr>
        <w:t xml:space="preserve"> — Комплексная система экстренного оповещения населения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МАСЦО</w:t>
      </w:r>
      <w:r>
        <w:rPr>
          <w:rFonts w:ascii="Times New Roman" w:hAnsi="Times New Roman"/>
          <w:color w:val="000000"/>
        </w:rPr>
        <w:t xml:space="preserve"> — Муниципальная автоматизированная система централизованного оповещения населения Нижегородской области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МЧС</w:t>
      </w:r>
      <w:r>
        <w:rPr>
          <w:rFonts w:ascii="Times New Roman" w:hAnsi="Times New Roman"/>
          <w:color w:val="000000"/>
        </w:rPr>
        <w:t xml:space="preserve"> — Министерство чрезвычайных ситуаций России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ОКСИОН</w:t>
      </w:r>
      <w:r>
        <w:rPr>
          <w:rFonts w:ascii="Times New Roman" w:hAnsi="Times New Roman"/>
          <w:color w:val="000000"/>
        </w:rPr>
        <w:t xml:space="preserve"> — Общероссийская комплексная система информирования и оповещения населения в местах массового пребывания людей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ПАКМЭ</w:t>
      </w:r>
      <w:r>
        <w:rPr>
          <w:rFonts w:ascii="Times New Roman" w:hAnsi="Times New Roman"/>
          <w:color w:val="000000"/>
        </w:rPr>
        <w:t xml:space="preserve"> — Программно-аппаратный комплекс класса МЭ (обнаружение вторжений)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ПО</w:t>
      </w:r>
      <w:r>
        <w:rPr>
          <w:rFonts w:ascii="Times New Roman" w:hAnsi="Times New Roman"/>
          <w:color w:val="000000"/>
        </w:rPr>
        <w:t xml:space="preserve"> — Программное обеспечение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ПОО</w:t>
      </w:r>
      <w:r>
        <w:rPr>
          <w:rFonts w:ascii="Times New Roman" w:hAnsi="Times New Roman"/>
          <w:color w:val="000000"/>
        </w:rPr>
        <w:t xml:space="preserve"> — Потенциально опасные объекты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ПСРО</w:t>
      </w:r>
      <w:r>
        <w:rPr>
          <w:rFonts w:ascii="Times New Roman" w:hAnsi="Times New Roman"/>
          <w:color w:val="000000"/>
        </w:rPr>
        <w:t xml:space="preserve"> — Пункт сиренно-речевого оповещения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РАСЦО</w:t>
      </w:r>
      <w:r>
        <w:rPr>
          <w:rFonts w:ascii="Times New Roman" w:hAnsi="Times New Roman"/>
          <w:color w:val="000000"/>
        </w:rPr>
        <w:t xml:space="preserve"> — Региональная автоматизированная система централизованного оповещения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РМО</w:t>
      </w:r>
      <w:r>
        <w:rPr>
          <w:rFonts w:ascii="Times New Roman" w:hAnsi="Times New Roman"/>
          <w:color w:val="000000"/>
        </w:rPr>
        <w:t xml:space="preserve"> — Рабочее место оператора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РСЧС</w:t>
      </w:r>
      <w:r>
        <w:rPr>
          <w:rFonts w:ascii="Times New Roman" w:hAnsi="Times New Roman"/>
          <w:color w:val="000000"/>
        </w:rPr>
        <w:t xml:space="preserve"> — Российская единая система предупреждения или ликвидации чрезвычайных ситуаций (Единая государственная система предупреждения или ликвидации чрезвычайных ситуаций)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СЗИОНТ</w:t>
      </w:r>
      <w:r>
        <w:rPr>
          <w:rFonts w:ascii="Times New Roman" w:hAnsi="Times New Roman"/>
          <w:color w:val="000000"/>
        </w:rPr>
        <w:t xml:space="preserve"> — Система защиты от угроз природного и техногенного характера, информирования и оповещения населения на транспорте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СМИ</w:t>
      </w:r>
      <w:r>
        <w:rPr>
          <w:rFonts w:ascii="Times New Roman" w:hAnsi="Times New Roman"/>
          <w:color w:val="000000"/>
        </w:rPr>
        <w:t xml:space="preserve"> — Средства массовой информации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ЧС</w:t>
      </w:r>
      <w:r>
        <w:rPr>
          <w:rFonts w:ascii="Times New Roman" w:hAnsi="Times New Roman"/>
          <w:color w:val="000000"/>
        </w:rPr>
        <w:t xml:space="preserve"> — Чрезвычайная ситуация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ЭТО</w:t>
      </w:r>
      <w:r>
        <w:rPr>
          <w:rFonts w:ascii="Times New Roman" w:hAnsi="Times New Roman"/>
          <w:color w:val="000000"/>
        </w:rPr>
        <w:t xml:space="preserve"> — Эксплуатационно-техническое обслуживание</w:t>
      </w:r>
    </w:p>
    <w:p>
      <w:pPr>
        <w:pStyle w:val="Compact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IPVPN</w:t>
      </w:r>
      <w:r>
        <w:rPr>
          <w:rFonts w:ascii="Times New Roman" w:hAnsi="Times New Roman"/>
          <w:color w:val="000000"/>
        </w:rPr>
        <w:t xml:space="preserve"> — Виртуальная частная сеть передачи данных, работающая по протоколу межсетевого взаимодействия IP</w:t>
      </w:r>
    </w:p>
    <w:p>
      <w:pPr>
        <w:pStyle w:val="Normal"/>
        <w:rPr>
          <w:rFonts w:ascii="Times New Roman" w:hAnsi="Times New Roman"/>
          <w:color w:val="000000"/>
        </w:rPr>
      </w:pPr>
      <w:bookmarkStart w:id="5" w:name="принятые-термины-и-сокращения"/>
      <w:r>
        <w:rPr>
          <w:rFonts w:ascii="Times New Roman" w:hAnsi="Times New Roman"/>
          <w:color w:val="00000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5"/>
    </w:p>
    <w:p>
      <w:pPr>
        <w:pStyle w:val="Heading3"/>
        <w:rPr>
          <w:rFonts w:ascii="Times New Roman" w:hAnsi="Times New Roman"/>
          <w:color w:val="000000"/>
        </w:rPr>
      </w:pPr>
      <w:bookmarkStart w:id="6" w:name="общие-сведения"/>
      <w:bookmarkEnd w:id="6"/>
      <w:r>
        <w:rPr>
          <w:rFonts w:ascii="Times New Roman" w:hAnsi="Times New Roman"/>
          <w:b/>
          <w:bCs/>
          <w:color w:val="000000"/>
        </w:rPr>
        <w:t>Общие сведения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Наличие действующей системы оповещения. Исходные данные:</w:t>
      </w:r>
      <w:r>
        <w:rPr>
          <w:rFonts w:ascii="Times New Roman" w:hAnsi="Times New Roman"/>
          <w:color w:val="000000"/>
        </w:rPr>
        <w:br/>
        <w:t>- В ЕДДС Володарского муниципального округа установлен терминал управления регионального сегмента РАСЦО на базе КТСО П-166М.</w:t>
        <w:br/>
        <w:t>- Оборудование исправно, используется по назначению в установленном порядке.</w:t>
        <w:br/>
        <w:t>- В целях оповещения используются:</w:t>
        <w:br/>
        <w:t>- стационарные комплексы технических средств оповещения (КТСО «АО ПК «АЗИМУТ»);</w:t>
        <w:br/>
        <w:t>- Проект «Реконструкции региональной системы централизованного оповещения населения Нижегородской области с элементами КСЭОН» №91251-16/07005-РАСЦО НН-ПД.</w:t>
        <w:br/>
        <w:t>- Проект «М</w:t>
      </w:r>
      <w:r>
        <w:rPr>
          <w:rFonts w:ascii="Times New Roman" w:hAnsi="Times New Roman"/>
          <w:color w:val="000000"/>
        </w:rPr>
        <w:t>уницип</w:t>
      </w:r>
      <w:r>
        <w:rPr>
          <w:rFonts w:ascii="Times New Roman" w:hAnsi="Times New Roman"/>
          <w:color w:val="000000"/>
        </w:rPr>
        <w:t>альная автоматизированная система централизованного оповещения населения Володарского муниципального округа Нижегородской области (с.п. Ильино)» № 1/011225 – МАСЦО.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7" w:name="общие-сведения"/>
      <w:bookmarkStart w:id="8" w:name="общие-сведения"/>
      <w:bookmarkEnd w:id="8"/>
    </w:p>
    <w:p>
      <w:pPr>
        <w:pStyle w:val="Heading3"/>
        <w:rPr>
          <w:rFonts w:ascii="Times New Roman" w:hAnsi="Times New Roman"/>
          <w:color w:val="000000"/>
        </w:rPr>
      </w:pPr>
      <w:bookmarkStart w:id="9" w:name="основания-для-построения-мсо"/>
      <w:bookmarkEnd w:id="9"/>
      <w:r>
        <w:rPr>
          <w:rFonts w:ascii="Times New Roman" w:hAnsi="Times New Roman"/>
          <w:b/>
          <w:bCs/>
          <w:color w:val="000000"/>
        </w:rPr>
        <w:t>Основания для построения МСО</w:t>
      </w:r>
    </w:p>
    <w:p>
      <w:pPr>
        <w:pStyle w:val="Compact"/>
        <w:numPr>
          <w:ilvl w:val="0"/>
          <w:numId w:val="2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Указ Президента РФ от 13 ноября 2012 года №1522 «О создании комплексной системы экстренного оповещения населения об угрозе возникновения или о возникновении чрезвычайных ситуаций».</w:t>
      </w:r>
    </w:p>
    <w:p>
      <w:pPr>
        <w:pStyle w:val="Compact"/>
        <w:numPr>
          <w:ilvl w:val="0"/>
          <w:numId w:val="2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Закон от 27 декабря 1991 года №2124-1 «О средствах массовой информации».</w:t>
      </w:r>
    </w:p>
    <w:p>
      <w:pPr>
        <w:pStyle w:val="Compact"/>
        <w:numPr>
          <w:ilvl w:val="0"/>
          <w:numId w:val="2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21 декабря 1994 года №68-ФЗ «О защите населения и территорий от чрезвычайных ситуаций природного и техногенного характера».</w:t>
      </w:r>
    </w:p>
    <w:p>
      <w:pPr>
        <w:pStyle w:val="Compact"/>
        <w:numPr>
          <w:ilvl w:val="0"/>
          <w:numId w:val="3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21 декабря 1994 года №69-ФЗ «О пожарной безопасности».</w:t>
      </w:r>
    </w:p>
    <w:p>
      <w:pPr>
        <w:pStyle w:val="Compact"/>
        <w:numPr>
          <w:ilvl w:val="0"/>
          <w:numId w:val="3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21 июля 1997 года №116-ФЗ «О промышленной безопасности опасных производственных объектов».</w:t>
      </w:r>
    </w:p>
    <w:p>
      <w:pPr>
        <w:pStyle w:val="Compact"/>
        <w:numPr>
          <w:ilvl w:val="0"/>
          <w:numId w:val="3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12 февраля 1998 года №28-ФЗ «О гражданской обороне».</w:t>
      </w:r>
    </w:p>
    <w:p>
      <w:pPr>
        <w:pStyle w:val="Compact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6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>
      <w:pPr>
        <w:pStyle w:val="Compact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7 июля 2003 года №126-ФЗ «О связи».</w:t>
      </w:r>
    </w:p>
    <w:p>
      <w:pPr>
        <w:pStyle w:val="Compact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6 октября 2003 года №131-ФЗ «Об общих принципах организации местного самоуправления в Российской Федерации».</w:t>
      </w:r>
    </w:p>
    <w:p>
      <w:pPr>
        <w:pStyle w:val="Compact"/>
        <w:numPr>
          <w:ilvl w:val="0"/>
          <w:numId w:val="3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Федеральный закон от 27 июля 2006 года №149-ФЗ «Об информации, информационных технологиях и о защите информации».</w:t>
      </w:r>
    </w:p>
    <w:p>
      <w:pPr>
        <w:pStyle w:val="Compact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1 марта 1993 года №178 «О модернизации локальных систем оповещения в районах размещения потенциально опасных объектов».</w:t>
      </w:r>
    </w:p>
    <w:p>
      <w:pPr>
        <w:pStyle w:val="Compact"/>
        <w:numPr>
          <w:ilvl w:val="0"/>
          <w:numId w:val="3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1 марта 1993 года №177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времени».</w:t>
      </w:r>
    </w:p>
    <w:p>
      <w:pPr>
        <w:pStyle w:val="Compact"/>
        <w:numPr>
          <w:ilvl w:val="0"/>
          <w:numId w:val="3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9 июня 1995 года №578 «Об утверждении Правил охраны линий и сооружений связи Российской Федерации».</w:t>
      </w:r>
    </w:p>
    <w:p>
      <w:pPr>
        <w:pStyle w:val="Compact"/>
        <w:numPr>
          <w:ilvl w:val="0"/>
          <w:numId w:val="4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24 марта 1997 года №334 «О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характера».</w:t>
      </w:r>
    </w:p>
    <w:p>
      <w:pPr>
        <w:pStyle w:val="Compact"/>
        <w:numPr>
          <w:ilvl w:val="0"/>
          <w:numId w:val="4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30 декабря 2003 года №794 «О единой государственной системе предупреждения и ликвидации чрезвычайных ситуаций».</w:t>
      </w:r>
    </w:p>
    <w:p>
      <w:pPr>
        <w:pStyle w:val="Compact"/>
        <w:numPr>
          <w:ilvl w:val="0"/>
          <w:numId w:val="4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31 декабря 2004 года №894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служб».</w:t>
      </w:r>
    </w:p>
    <w:p>
      <w:pPr>
        <w:pStyle w:val="Compact"/>
        <w:numPr>
          <w:ilvl w:val="0"/>
          <w:numId w:val="4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31 декабря 2004 года №895 «Об утверждении Положения о приоритетном использовании, а также приостановлении использования любых сетей связи и средств связи во время чрезвычайных ситуаций природного и техногенного характера».</w:t>
      </w:r>
    </w:p>
    <w:p>
      <w:pPr>
        <w:pStyle w:val="Compact"/>
        <w:numPr>
          <w:ilvl w:val="0"/>
          <w:numId w:val="4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13 апреля 2005 года №214 «Об утверждении Правил организации и проведения работ по обязательному подтверждению соответствия средств связи».</w:t>
      </w:r>
    </w:p>
    <w:p>
      <w:pPr>
        <w:pStyle w:val="Compact"/>
        <w:numPr>
          <w:ilvl w:val="0"/>
          <w:numId w:val="4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26 ноября 2007 года №804 «Об утверждении положения о гражданской обороне в Российской Федерации».</w:t>
      </w:r>
    </w:p>
    <w:p>
      <w:pPr>
        <w:pStyle w:val="Compact"/>
        <w:numPr>
          <w:ilvl w:val="0"/>
          <w:numId w:val="4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22 мая 2008 года №381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людей».</w:t>
      </w:r>
    </w:p>
    <w:p>
      <w:pPr>
        <w:pStyle w:val="Compact"/>
        <w:numPr>
          <w:ilvl w:val="0"/>
          <w:numId w:val="4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25 июня 2009 года №532 «Об утверждении перечня средств связи, подлежащих обязательной сертификации».</w:t>
      </w:r>
    </w:p>
    <w:p>
      <w:pPr>
        <w:pStyle w:val="Compact"/>
        <w:numPr>
          <w:ilvl w:val="0"/>
          <w:numId w:val="4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21 ноября 2011 года №958 «О системе обеспечения вызова экстренных оперативных служб по единому номеру 112».</w:t>
      </w:r>
    </w:p>
    <w:p>
      <w:pPr>
        <w:pStyle w:val="Compact"/>
        <w:numPr>
          <w:ilvl w:val="0"/>
          <w:numId w:val="4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Постановление Правительства РФ от 25 марта 2015 года 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>
      <w:pPr>
        <w:pStyle w:val="Compact"/>
        <w:numPr>
          <w:ilvl w:val="0"/>
          <w:numId w:val="5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Распоряжение Правительства РФ от 25 октября 2003 года №1544-р «О мерах по обеспечению своевременного оповещения населения об угрозе возникновения или о возникновении чрезвычайных ситуаций в мирное и в военное время».</w:t>
      </w:r>
    </w:p>
    <w:p>
      <w:pPr>
        <w:pStyle w:val="Compact"/>
        <w:numPr>
          <w:ilvl w:val="0"/>
          <w:numId w:val="5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Распоряжение Правительства РФ от 14 октября 2004 года №1327-р «Об обеспечении граждан информацией о чрезвычайных ситуациях и угрозе террористических актов».</w:t>
      </w:r>
    </w:p>
    <w:p>
      <w:pPr>
        <w:pStyle w:val="Compact"/>
        <w:numPr>
          <w:ilvl w:val="0"/>
          <w:numId w:val="5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МЧС России, МВД России и ФСБ России от 31 мая 2005 года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(зарегистрирован в Минюсте России, регистрационный номер 6700 от 9 июня 2005 года).</w:t>
      </w:r>
    </w:p>
    <w:p>
      <w:pPr>
        <w:pStyle w:val="Compact"/>
        <w:numPr>
          <w:ilvl w:val="0"/>
          <w:numId w:val="5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МЧС России, МВД России и ФСБ России от 28 октября 2008 года №646/919/526 «Об утверждении Требований по установке специализированных технических средств оповещения и информирования населения в местах массового пребывания людей» (зарегистрирован в Минюсте России, регистрационный номер 13001 от 26 декабря 2008 года).</w:t>
      </w:r>
    </w:p>
    <w:p>
      <w:pPr>
        <w:pStyle w:val="Compact"/>
        <w:numPr>
          <w:ilvl w:val="0"/>
          <w:numId w:val="5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Мининформсвязи России от 13 марта 2007 года №32 «Об утверждении требований к построению телефонной сети связи общего пользования в части обеспечения надежности электроснабжения средств связи, выполняющих функции систем коммутации, точек присоединения и базовых станций сетей подвижной связи».</w:t>
      </w:r>
    </w:p>
    <w:p>
      <w:pPr>
        <w:pStyle w:val="Compact"/>
        <w:numPr>
          <w:ilvl w:val="0"/>
          <w:numId w:val="5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Мининформсвязи России от 27 сентября 2007 года №113 «Об утверждении Требований к организационно-техническому обеспечению устойчивого функционирования сети связи общего пользования».</w:t>
      </w:r>
    </w:p>
    <w:p>
      <w:pPr>
        <w:pStyle w:val="Compact"/>
        <w:numPr>
          <w:ilvl w:val="0"/>
          <w:numId w:val="5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Мининформсвязи России от 9 января 2008 года №1 «Об утверждении требований по защите сетей связи от несанкционированного доступа к ним и передаваемой посредством их информации».</w:t>
      </w:r>
    </w:p>
    <w:p>
      <w:pPr>
        <w:pStyle w:val="Compact"/>
        <w:numPr>
          <w:ilvl w:val="0"/>
          <w:numId w:val="5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Мининформсвязи России от 31 января 2008 года №10 «Об утверждении Административного регламента Федерального агентства связи по исполнению государственной функции по организации системы сертификации в области связи, включающей в себя органы по сертификации, испытательные лаборатории (центры) независимо от их организационно-правовых форм и форм собственности».</w:t>
      </w:r>
    </w:p>
    <w:p>
      <w:pPr>
        <w:pStyle w:val="Compact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МЧС России и Министерства цифрового развития, связи и массовых коммуникаций РФ от 31 июля 2020 года №578/365 «Об утверждении Положения о системах оповещения населения».</w:t>
      </w:r>
    </w:p>
    <w:p>
      <w:pPr>
        <w:pStyle w:val="Compact"/>
        <w:numPr>
          <w:ilvl w:val="0"/>
          <w:numId w:val="5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Приказ МЧС России и Министерства цифрового развития, связи и массовых коммуникаций РФ от 31 июля 2020 года №579/366 «Об утверждении Положения по организации эксплуатационно-технического обслуживания систем оповещения населения».</w:t>
      </w:r>
    </w:p>
    <w:p>
      <w:pPr>
        <w:pStyle w:val="Compact"/>
        <w:numPr>
          <w:ilvl w:val="0"/>
          <w:numId w:val="6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ГОСТ Р 42.3.01-2021 «Гражданская оборона. Технические средства оповещения. Классификация. Общие технические требования».</w:t>
      </w:r>
    </w:p>
    <w:p>
      <w:pPr>
        <w:pStyle w:val="Compact"/>
        <w:numPr>
          <w:ilvl w:val="0"/>
          <w:numId w:val="6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ГОСТ Р 55199-2012 «Гражданская оборона. Оценка эффективности топологии оконечных устройств оповещения населения».</w:t>
      </w:r>
    </w:p>
    <w:p>
      <w:pPr>
        <w:pStyle w:val="Compact"/>
        <w:numPr>
          <w:ilvl w:val="0"/>
          <w:numId w:val="6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 165.1325800.2014 «Свод правил. Инженерно-технические мероприятия по гражданской обороне. Актуализированная редакция СНиП 2.01.51-90.».</w:t>
      </w:r>
    </w:p>
    <w:p>
      <w:pPr>
        <w:pStyle w:val="Compact"/>
        <w:numPr>
          <w:ilvl w:val="0"/>
          <w:numId w:val="6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 133.13330.2012 «Сети проводного радиовещания и оповещения в зданиях и сооружениях. Нормы проектирования».</w:t>
      </w:r>
    </w:p>
    <w:p>
      <w:pPr>
        <w:pStyle w:val="Compact"/>
        <w:numPr>
          <w:ilvl w:val="0"/>
          <w:numId w:val="6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Правила технической эксплуатации электрических станций и сетей Российской Федерации, утвержденные Приказом Министерства энергетики Российской Федерации от 19.06.2003 года №229, зарегистрированным в Министерстве юстиции Российской Федерации 20.06.2003 года №4799.</w:t>
      </w:r>
    </w:p>
    <w:p>
      <w:pPr>
        <w:pStyle w:val="Compact"/>
        <w:numPr>
          <w:ilvl w:val="0"/>
          <w:numId w:val="6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Методические рекомендации по созданию и реконструкции систем оповещения населения, утвержденные протоколом заседания Правительственной КЧС и ОПБ по координации создания и поддержания в постоянной боевой готовности систем оповещения населения от 19 февраля 2021 года №1.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10" w:name="основания-для-построения-мсо"/>
      <w:bookmarkStart w:id="11" w:name="основания-для-построения-мсо"/>
      <w:bookmarkEnd w:id="11"/>
    </w:p>
    <w:p>
      <w:pPr>
        <w:pStyle w:val="Heading3"/>
        <w:rPr>
          <w:rFonts w:ascii="Times New Roman" w:hAnsi="Times New Roman"/>
          <w:color w:val="000000"/>
        </w:rPr>
      </w:pPr>
      <w:bookmarkStart w:id="12" w:name="цели-построения-и-развития-мсо"/>
      <w:bookmarkEnd w:id="12"/>
      <w:r>
        <w:rPr>
          <w:rFonts w:ascii="Times New Roman" w:hAnsi="Times New Roman"/>
          <w:b/>
          <w:bCs/>
          <w:color w:val="000000"/>
        </w:rPr>
        <w:t>Цели построения и развития МСО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строится в соответствии со структурой системы управления РСЧС, с использованием специальных технических и программных средств оповещения, ведомственных сетей передачи данных, а также сетей передачи данных общего пользования. Цели построения и развития МСО включают:</w:t>
      </w:r>
    </w:p>
    <w:p>
      <w:pPr>
        <w:pStyle w:val="Compact"/>
        <w:numPr>
          <w:ilvl w:val="0"/>
          <w:numId w:val="6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Устойчивое и эффективное оповещение органов управления и населения Володарского муниципального округа Нижегородской области о прогнозируемых и возникших чрезвычайных ситуациях, принимаемых мерах по обеспечению безопасности населения и территории, приемах и способах защиты, а также проведения пропаганды знаний в области гражданской обороны и защиты населения и территории от чрезвычайных ситуаций.</w:t>
      </w:r>
    </w:p>
    <w:p>
      <w:pPr>
        <w:pStyle w:val="Compact"/>
        <w:numPr>
          <w:ilvl w:val="0"/>
          <w:numId w:val="6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Расширение площади территории и численности населения, охваченных современными техническими средствами оповещения.</w:t>
      </w:r>
    </w:p>
    <w:p>
      <w:pPr>
        <w:pStyle w:val="Compact"/>
        <w:numPr>
          <w:ilvl w:val="0"/>
          <w:numId w:val="6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Сокращение времени на проведение оповещения.</w:t>
      </w:r>
    </w:p>
    <w:p>
      <w:pPr>
        <w:pStyle w:val="Compact"/>
        <w:numPr>
          <w:ilvl w:val="0"/>
          <w:numId w:val="6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Повышение достоверности передаваемой информации оповещения.</w:t>
      </w:r>
    </w:p>
    <w:p>
      <w:pPr>
        <w:pStyle w:val="Compact"/>
        <w:numPr>
          <w:ilvl w:val="0"/>
          <w:numId w:val="7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Повышение устойчивости и эффективности функционирования.</w:t>
      </w:r>
    </w:p>
    <w:p>
      <w:pPr>
        <w:pStyle w:val="Compact"/>
        <w:numPr>
          <w:ilvl w:val="0"/>
          <w:numId w:val="7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Дальнейшее развитие МСО на базе современных технологий и технических средств с использованием мультисервисных решений, учитывающих текущее состояние и дальнейшее развитие цифровых сетей связи и передачи данных ЕСЭС, развитие сетей цифрового телевизионного и радиовещания, развитие сетей ведомственной составляющей РАСЦО.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13" w:name="цели-построения-и-развития-мсо"/>
      <w:bookmarkStart w:id="14" w:name="цели-построения-и-развития-мсо"/>
      <w:bookmarkEnd w:id="14"/>
    </w:p>
    <w:p>
      <w:pPr>
        <w:pStyle w:val="Heading3"/>
        <w:rPr>
          <w:rFonts w:ascii="Times New Roman" w:hAnsi="Times New Roman"/>
          <w:color w:val="000000"/>
        </w:rPr>
      </w:pPr>
      <w:bookmarkStart w:id="15" w:name="X8735b8cb8f87218b206ede2072e3febf32bd228"/>
      <w:bookmarkEnd w:id="15"/>
      <w:r>
        <w:rPr>
          <w:rFonts w:ascii="Times New Roman" w:hAnsi="Times New Roman"/>
          <w:b/>
          <w:bCs/>
          <w:color w:val="000000"/>
        </w:rPr>
        <w:t>Характеристика действующей системы оповещения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оповещения используются:</w:t>
        <w:br/>
        <w:t>- терминал управления РАСЦО на базе КТСО П-166М производства «АО ПК «АЗИМУТ»;</w:t>
        <w:br/>
        <w:t>- блок управления П-166М БУ производства «АО ПК «АЗИМУТ»;</w:t>
        <w:br/>
        <w:t>- модуль речевого оповещения П-166М МРО производства «АО ПК «АЗИМУТ»;</w:t>
        <w:br/>
        <w:t>- стационарные комплексы технических средств оповещения (КТСО «АО ПК «АЗИМУТ»).</w:t>
      </w:r>
    </w:p>
    <w:p>
      <w:pPr>
        <w:pStyle w:val="BodyTex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Оборудование исправно, используется по назначению в установленном порядке.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16" w:name="X8735b8cb8f87218b206ede2072e3febf32bd228"/>
      <w:bookmarkStart w:id="17" w:name="X8735b8cb8f87218b206ede2072e3febf32bd228"/>
      <w:bookmarkEnd w:id="17"/>
    </w:p>
    <w:p>
      <w:pPr>
        <w:pStyle w:val="Heading3"/>
        <w:rPr>
          <w:rFonts w:ascii="Times New Roman" w:hAnsi="Times New Roman"/>
          <w:color w:val="000000"/>
        </w:rPr>
      </w:pPr>
      <w:bookmarkStart w:id="18" w:name="требования-к-системе-оповещения"/>
      <w:bookmarkEnd w:id="18"/>
      <w:r>
        <w:rPr>
          <w:rFonts w:ascii="Times New Roman" w:hAnsi="Times New Roman"/>
          <w:b/>
          <w:bCs/>
          <w:color w:val="000000"/>
        </w:rPr>
        <w:t>Требования к системе оповещения</w:t>
      </w:r>
    </w:p>
    <w:p>
      <w:pPr>
        <w:pStyle w:val="Heading4"/>
        <w:rPr>
          <w:rFonts w:ascii="Times New Roman" w:hAnsi="Times New Roman"/>
          <w:color w:val="000000"/>
        </w:rPr>
      </w:pPr>
      <w:bookmarkStart w:id="19" w:name="общие-определения"/>
      <w:bookmarkEnd w:id="19"/>
      <w:r>
        <w:rPr>
          <w:rFonts w:ascii="Times New Roman" w:hAnsi="Times New Roman"/>
          <w:b/>
          <w:bCs/>
          <w:color w:val="000000"/>
        </w:rPr>
        <w:t>Общие определения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представляет собой организационно-техническое объединение сил, средств связи и оповещения, сетей вещания, каналов сети связи общего пользования и ведомственной принадлежности, обеспечивающих доведение информации и сигналов оповещения до органов управления, аварийно-спасательных формирований РСЧС и населения Володарского муниципального округа Нижегородской области.</w:t>
      </w:r>
    </w:p>
    <w:p>
      <w:pPr>
        <w:pStyle w:val="BodyTex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обеспечивать:</w:t>
        <w:br/>
        <w:t>- возможность расширения и включения в систему пунктов управления руководителей ГО и РСЧС Володарского муниципального округа Нижегородской области для незамедлительного и точного доведения до них в установленном порядке сигналов оповещения и экстренной информации федерального, областного, муниципального уровней;</w:t>
        <w:br/>
        <w:t>- передачу сигналов и информации оповещения в избирательном, групповом и циркулярном режимах;</w:t>
        <w:br/>
        <w:t>- автоматизированное и ручное управление процессом оповещения;</w:t>
        <w:br/>
        <w:t>- автоматизированное управление уличными акустическими установками или иными аналогичными трансляционными и электрозвуковыми устройствами;</w:t>
        <w:br/>
        <w:t>- формирование и передачу подтверждений о принятых и переданных сигналах оповещения;</w:t>
        <w:br/>
        <w:t>- сбор, документирование и обобщение результатов оповещения;</w:t>
        <w:br/>
        <w:t>- круглосуточный непрерывный мониторинг состояния оконечных устройств и каналов передачи данных, используемых для оповещения;</w:t>
        <w:br/>
        <w:t>- управление МСО и другими профильными и смежными информационными системами, необходимыми для выполнения основных задач на базе мультисервисной сети связи и передачи данных (МССПД);</w:t>
        <w:br/>
        <w:t>- сопряжение в автоматическом и (или) автоматизированном режимах с действующими системами оповещения различных уровней, системами мониторинга потенциально опасных объектов, системами мониторинга природных и техногенных ЧС;</w:t>
        <w:br/>
        <w:t>- возможность сопряжения в автоматическом и (или) автоматизированном режимах со строящимися (проектируемыми) системами оповещения различных уровней, системами мониторинга потенциально опасных объектов, системами мониторинга природных и техногенных ЧС.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20" w:name="требования-к-системе-оповещения"/>
      <w:bookmarkStart w:id="21" w:name="общие-определения"/>
      <w:bookmarkStart w:id="22" w:name="требования-к-системе-оповещения"/>
      <w:bookmarkStart w:id="23" w:name="общие-определения"/>
      <w:bookmarkEnd w:id="22"/>
      <w:bookmarkEnd w:id="23"/>
    </w:p>
    <w:p>
      <w:pPr>
        <w:pStyle w:val="Heading3"/>
        <w:rPr>
          <w:rFonts w:ascii="Times New Roman" w:hAnsi="Times New Roman"/>
          <w:color w:val="000000"/>
        </w:rPr>
      </w:pPr>
      <w:bookmarkStart w:id="24" w:name="границы-мсо"/>
      <w:bookmarkEnd w:id="24"/>
      <w:r>
        <w:rPr>
          <w:rFonts w:ascii="Times New Roman" w:hAnsi="Times New Roman"/>
          <w:b/>
          <w:bCs/>
          <w:color w:val="000000"/>
        </w:rPr>
        <w:t>Границы МСО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зависимости от применяемых технических средств оповещения МСО должна обеспечивать охват населения средствами оповещения в границах Володарского муниципального округа Нижегородской области, в том числе:</w:t>
        <w:br/>
        <w:t>- на территориях, подверженных риску возникновения природных и техногенных ЧС, в местах расположения опасных производственных объектов;</w:t>
        <w:br/>
        <w:t>- на территориях с высокой плотностью населения;</w:t>
        <w:br/>
        <w:t>- в местах проведения массовых мероприятий, местах массового отдыха населения, местах с массовым пребыванием людей;</w:t>
        <w:br/>
        <w:t>- на территориях с невысокой плотностью населения, удаленных от центра города.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25" w:name="границы-мсо"/>
      <w:bookmarkStart w:id="26" w:name="границы-мсо"/>
      <w:bookmarkEnd w:id="26"/>
    </w:p>
    <w:p>
      <w:pPr>
        <w:pStyle w:val="Heading3"/>
        <w:rPr>
          <w:rFonts w:ascii="Times New Roman" w:hAnsi="Times New Roman"/>
          <w:color w:val="000000"/>
        </w:rPr>
      </w:pPr>
      <w:bookmarkStart w:id="27" w:name="требования-к-функциям-выполняемым-мсо"/>
      <w:bookmarkEnd w:id="27"/>
      <w:r>
        <w:rPr>
          <w:rFonts w:ascii="Times New Roman" w:hAnsi="Times New Roman"/>
          <w:b/>
          <w:bCs/>
          <w:color w:val="000000"/>
        </w:rPr>
        <w:t>Требования к функциям, выполняемым МСО</w:t>
      </w:r>
    </w:p>
    <w:p>
      <w:pPr>
        <w:pStyle w:val="Compact"/>
        <w:numPr>
          <w:ilvl w:val="0"/>
          <w:numId w:val="7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Прием сигналов оповещения и экстренной информации от систем оповещения населения вышестоящего уровня.</w:t>
      </w:r>
    </w:p>
    <w:p>
      <w:pPr>
        <w:pStyle w:val="Compact"/>
        <w:numPr>
          <w:ilvl w:val="0"/>
          <w:numId w:val="7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Включение (запуск) не менее чем с двух АРМ пункта управления ГО и ГЗ ТП РСЧС.</w:t>
      </w:r>
    </w:p>
    <w:p>
      <w:pPr>
        <w:pStyle w:val="Compact"/>
        <w:numPr>
          <w:ilvl w:val="0"/>
          <w:numId w:val="74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Взаимное автоматическое (автоматизированное) уведомление пунктов управления ГО и РСЧС одного уровня о задействовании МСО.</w:t>
      </w:r>
    </w:p>
    <w:p>
      <w:pPr>
        <w:pStyle w:val="Compact"/>
        <w:numPr>
          <w:ilvl w:val="0"/>
          <w:numId w:val="7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Автоматизированный и ручной режим запуска МСО.</w:t>
      </w:r>
    </w:p>
    <w:p>
      <w:pPr>
        <w:pStyle w:val="Compact"/>
        <w:numPr>
          <w:ilvl w:val="0"/>
          <w:numId w:val="7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Обмен информацией со взаимодействующими системами, в том числе мониторинга природных и техногенных ЧС, в автоматическом, автоматизированном и ручном режимах.</w:t>
      </w:r>
    </w:p>
    <w:p>
      <w:pPr>
        <w:pStyle w:val="Compact"/>
        <w:numPr>
          <w:ilvl w:val="0"/>
          <w:numId w:val="7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Подготовка и хранение аудио-, аудиовизуальных и буквенно-цифровых сообщений, программ оповещения, вариантов (сценариев) и режимов запуска МСО и технических средств оповещения.</w:t>
      </w:r>
    </w:p>
    <w:p>
      <w:pPr>
        <w:pStyle w:val="Compact"/>
        <w:numPr>
          <w:ilvl w:val="0"/>
          <w:numId w:val="7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Формирование, передача сигналов оповещения и экстренной информации, аудио-, аудиовизуальных и буквенно-цифровых сообщений.</w:t>
      </w:r>
    </w:p>
    <w:p>
      <w:pPr>
        <w:pStyle w:val="Compact"/>
        <w:numPr>
          <w:ilvl w:val="0"/>
          <w:numId w:val="7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Передача и сбор автоматических и ручных подтверждений о приеме сигнала оповещения и экстренной информации.</w:t>
      </w:r>
    </w:p>
    <w:p>
      <w:pPr>
        <w:pStyle w:val="Compact"/>
        <w:numPr>
          <w:ilvl w:val="0"/>
          <w:numId w:val="8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Двухсторонний обмен аудио-, аудиовизуальными и буквенно-цифровыми сообщениями.</w:t>
      </w:r>
    </w:p>
    <w:p>
      <w:pPr>
        <w:pStyle w:val="Compact"/>
        <w:numPr>
          <w:ilvl w:val="0"/>
          <w:numId w:val="8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Установка вида сигнала (оповещения, управления, другой) и типа сигнала (основной, проверочный).</w:t>
      </w:r>
    </w:p>
    <w:p>
      <w:pPr>
        <w:pStyle w:val="Compact"/>
        <w:numPr>
          <w:ilvl w:val="0"/>
          <w:numId w:val="8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Оперативный ввод сигнала оповещения и экстренной информации или редактирование ранее записанного сигнала оповещения и экстренной информации.</w:t>
      </w:r>
    </w:p>
    <w:p>
      <w:pPr>
        <w:pStyle w:val="Compact"/>
        <w:numPr>
          <w:ilvl w:val="0"/>
          <w:numId w:val="8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Дистанционное управление оконечными средствами оповещения населения, должностных лиц, органов управления и сил ГО и ГЗ ТП РСЧС.</w:t>
      </w:r>
    </w:p>
    <w:p>
      <w:pPr>
        <w:pStyle w:val="Compact"/>
        <w:numPr>
          <w:ilvl w:val="0"/>
          <w:numId w:val="84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Приостановка или отмена выполнения сеанса (сценария) оповещения по команде.</w:t>
      </w:r>
    </w:p>
    <w:p>
      <w:pPr>
        <w:pStyle w:val="Compact"/>
        <w:numPr>
          <w:ilvl w:val="0"/>
          <w:numId w:val="8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и визуализация хода оповещения в реальном времени с отображением списка оповещаемых объектов, типа сигнала оповещения, состояния оповещения, результирующего времени оповещения для каждого объекта, а также каналов, по которым проведено оповещение.</w:t>
      </w:r>
    </w:p>
    <w:p>
      <w:pPr>
        <w:pStyle w:val="Compact"/>
        <w:numPr>
          <w:ilvl w:val="0"/>
          <w:numId w:val="8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Приоритет передачи сигналов оповещения вышестоящего уровня по отношению к нижестоящему.</w:t>
      </w:r>
    </w:p>
    <w:p>
      <w:pPr>
        <w:pStyle w:val="Compact"/>
        <w:numPr>
          <w:ilvl w:val="0"/>
          <w:numId w:val="8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Контроль и визуализация состояния технических средств оповещения и каналов связи.</w:t>
      </w:r>
    </w:p>
    <w:p>
      <w:pPr>
        <w:pStyle w:val="Compact"/>
        <w:numPr>
          <w:ilvl w:val="0"/>
          <w:numId w:val="8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Защита от несанкционированного доступа.</w:t>
      </w:r>
    </w:p>
    <w:p>
      <w:pPr>
        <w:pStyle w:val="Compact"/>
        <w:numPr>
          <w:ilvl w:val="0"/>
          <w:numId w:val="8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Документирование выполнения техническими средствами оповещения действий (процессов, функций, алгоритмов) в ходе оповещения населения (проверки системы оповещения населения) на бумажном и электронном (USB-накопитель, жесткий диск, оптический диск) носителях.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28" w:name="требования-к-функциям-выполняемым-мсо"/>
      <w:bookmarkStart w:id="29" w:name="требования-к-функциям-выполняемым-мсо"/>
      <w:bookmarkEnd w:id="29"/>
    </w:p>
    <w:p>
      <w:pPr>
        <w:pStyle w:val="Heading3"/>
        <w:rPr>
          <w:rFonts w:ascii="Times New Roman" w:hAnsi="Times New Roman"/>
          <w:color w:val="000000"/>
        </w:rPr>
      </w:pPr>
      <w:bookmarkStart w:id="30" w:name="требования-к-показателям-назначения"/>
      <w:bookmarkEnd w:id="30"/>
      <w:r>
        <w:rPr>
          <w:rFonts w:ascii="Times New Roman" w:hAnsi="Times New Roman"/>
          <w:b/>
          <w:bCs/>
          <w:color w:val="000000"/>
        </w:rPr>
        <w:t>Требования к показателям назначения</w:t>
      </w:r>
    </w:p>
    <w:p>
      <w:pPr>
        <w:pStyle w:val="Compact"/>
        <w:numPr>
          <w:ilvl w:val="0"/>
          <w:numId w:val="9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Время доведения сигнала и экстренной информации до населения в автоматизированном режиме функционирования не должно превышать 5 минут.</w:t>
      </w:r>
    </w:p>
    <w:p>
      <w:pPr>
        <w:pStyle w:val="Compact"/>
        <w:numPr>
          <w:ilvl w:val="0"/>
          <w:numId w:val="9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автоматическом режиме функционирования время прохождения сигналов оповещения и экстренной информации на муниципальном и объектовом уровне - не более 8 секунд.</w:t>
      </w:r>
    </w:p>
    <w:p>
      <w:pPr>
        <w:pStyle w:val="Compact"/>
        <w:numPr>
          <w:ilvl w:val="0"/>
          <w:numId w:val="9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Включение электрических, электронных сирен и мощных акустических систем для передачи сигнала оповещения «ВНИМАНИЕ ВСЕМ!» должно сопровождаться их звучанием изменяющейся тональности (от 300 до 600 Гц) и амплитуды звучания (от минимума до максимума).</w:t>
      </w:r>
    </w:p>
    <w:p>
      <w:pPr>
        <w:pStyle w:val="Compact"/>
        <w:numPr>
          <w:ilvl w:val="0"/>
          <w:numId w:val="9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 всех точках зоны адекватной идентификации сигнала оповещения (речевого сигнала оповещения) уровень звука, поступающий от какого-либо одного из оконечных устройств коллективного оповещения (электрических, электронных сирен и мощных акустических систем), рассчитываемый для высоты 1,5 м над уровнем земли (поверхности пола), должен превышать не менее чем на 15 дБА суперпозицию звуковых сигналов, поступающих от других оконечных устройств коллективного оповещения, и постоянного шума, определяемого функциональным назначением данной зоны.</w:t>
      </w:r>
    </w:p>
    <w:p>
      <w:pPr>
        <w:pStyle w:val="Compact"/>
        <w:numPr>
          <w:ilvl w:val="0"/>
          <w:numId w:val="9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любой точке зоны оповещения уровень звука, поступающего от всех оконечных устройств звукового и речевого оповещения, не должен превышать 120 дБА.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31" w:name="требования-к-показателям-назначения"/>
      <w:bookmarkStart w:id="32" w:name="требования-к-показателям-назначения"/>
      <w:bookmarkEnd w:id="32"/>
    </w:p>
    <w:p>
      <w:pPr>
        <w:pStyle w:val="Heading3"/>
        <w:rPr>
          <w:rFonts w:ascii="Times New Roman" w:hAnsi="Times New Roman"/>
          <w:color w:val="000000"/>
        </w:rPr>
      </w:pPr>
      <w:bookmarkStart w:id="33" w:name="Xf0fe6fa5f61b7582b3cf3aeee60d9776011c02f"/>
      <w:bookmarkEnd w:id="33"/>
      <w:r>
        <w:rPr>
          <w:rFonts w:ascii="Times New Roman" w:hAnsi="Times New Roman"/>
          <w:b/>
          <w:bCs/>
          <w:color w:val="000000"/>
        </w:rPr>
        <w:t>Требования к показателям надежности и живучести</w:t>
      </w:r>
    </w:p>
    <w:p>
      <w:pPr>
        <w:pStyle w:val="Compact"/>
        <w:numPr>
          <w:ilvl w:val="0"/>
          <w:numId w:val="9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Надежность (коэффициент готовности одного направления оповещения):</w:t>
      </w:r>
    </w:p>
    <w:p>
      <w:pPr>
        <w:pStyle w:val="Compact"/>
        <w:numPr>
          <w:ilvl w:val="1"/>
          <w:numId w:val="9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объектового и муниципального уровней - Кг не менее 0,995.</w:t>
      </w:r>
    </w:p>
    <w:p>
      <w:pPr>
        <w:pStyle w:val="Compact"/>
        <w:numPr>
          <w:ilvl w:val="0"/>
          <w:numId w:val="9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Живучесть (вероятность живучести одного направления оповещения):</w:t>
      </w:r>
    </w:p>
    <w:p>
      <w:pPr>
        <w:pStyle w:val="Compact"/>
        <w:numPr>
          <w:ilvl w:val="1"/>
          <w:numId w:val="9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объектового и муниципального уровней - Рж не менее 0,95.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34" w:name="Xf0fe6fa5f61b7582b3cf3aeee60d9776011c02f"/>
      <w:bookmarkStart w:id="35" w:name="Xf0fe6fa5f61b7582b3cf3aeee60d9776011c02f"/>
      <w:bookmarkEnd w:id="35"/>
    </w:p>
    <w:p>
      <w:pPr>
        <w:pStyle w:val="Heading3"/>
        <w:rPr>
          <w:rFonts w:ascii="Times New Roman" w:hAnsi="Times New Roman"/>
          <w:color w:val="000000"/>
        </w:rPr>
      </w:pPr>
      <w:bookmarkStart w:id="36" w:name="требования-к-информационному-обеспечению"/>
      <w:bookmarkEnd w:id="36"/>
      <w:r>
        <w:rPr>
          <w:rFonts w:ascii="Times New Roman" w:hAnsi="Times New Roman"/>
          <w:b/>
          <w:bCs/>
          <w:color w:val="000000"/>
        </w:rPr>
        <w:t>Требования к информационному обеспечению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Основой информационного обеспечения МСО должны быть территориально разнесенные базы данных и специальное программное обеспечение, включающие информацию об элементах системы, порядке установления связи, оповещаемых абонентах, исполнительных устройствах своего и подчиненных уровней управления с использованием единых классификаторов объектов, свойств и признаков для описания всех информационных ресурсов.</w:t>
      </w:r>
    </w:p>
    <w:p>
      <w:pPr>
        <w:pStyle w:val="Compact"/>
        <w:numPr>
          <w:ilvl w:val="0"/>
          <w:numId w:val="9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Состав, структура и способы организации данных должны обеспечивать наличие всех необходимых учетных реквизитов объектов оповещения, разбиение информации по категориям и независимость представления данных об объектах оповещения от других функциональных подсистем.</w:t>
      </w:r>
    </w:p>
    <w:p>
      <w:pPr>
        <w:pStyle w:val="Compact"/>
        <w:numPr>
          <w:ilvl w:val="0"/>
          <w:numId w:val="10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Информационный обмен между компонентами системы должен осуществляться по сетям связи и передачи данных с гарантированной доставкой команд управления и сообщений (информации) пункту управления ГО и РСЧС.</w:t>
      </w:r>
    </w:p>
    <w:p>
      <w:pPr>
        <w:pStyle w:val="Compact"/>
        <w:numPr>
          <w:ilvl w:val="0"/>
          <w:numId w:val="10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информационном взаимодействии со смежными системами должна обеспечиваться полная автономность программных и аппаратных средств системы оповещения населения, независимость подсистемы приема и отправки команд управления и сообщений (информации) от изменения категории информации, способов хранения и режима работы (автоматическом или ручном).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37" w:name="требования-к-информационному-обеспечению"/>
      <w:bookmarkStart w:id="38" w:name="требования-к-информационному-обеспечению"/>
      <w:bookmarkEnd w:id="38"/>
    </w:p>
    <w:p>
      <w:pPr>
        <w:pStyle w:val="Heading3"/>
        <w:rPr>
          <w:rFonts w:ascii="Times New Roman" w:hAnsi="Times New Roman"/>
          <w:color w:val="000000"/>
        </w:rPr>
      </w:pPr>
      <w:bookmarkStart w:id="39" w:name="требования-к-сопряжению"/>
      <w:bookmarkEnd w:id="39"/>
      <w:r>
        <w:rPr>
          <w:rFonts w:ascii="Times New Roman" w:hAnsi="Times New Roman"/>
          <w:b/>
          <w:bCs/>
          <w:color w:val="000000"/>
        </w:rPr>
        <w:t>Требования к сопряжению</w:t>
      </w:r>
    </w:p>
    <w:p>
      <w:pPr>
        <w:pStyle w:val="Compact"/>
        <w:numPr>
          <w:ilvl w:val="0"/>
          <w:numId w:val="10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 системы оповещения населения на территории Володарского муниципального округа Нижегородской области должны программно и аппаратно сопрягаться.</w:t>
      </w:r>
    </w:p>
    <w:p>
      <w:pPr>
        <w:pStyle w:val="Compact"/>
        <w:numPr>
          <w:ilvl w:val="0"/>
          <w:numId w:val="10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сопряжении систем оповещения населения должен использоваться единый протокол обмена информацией (стандартное устройство сопряжения).</w:t>
      </w:r>
    </w:p>
    <w:p>
      <w:pPr>
        <w:pStyle w:val="Compact"/>
        <w:numPr>
          <w:ilvl w:val="0"/>
          <w:numId w:val="10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Сопряжение локальных систем оповещения с МСО осуществляется организацией, эксплуатирующей опасный производственный объект I и II классов опасности и объект, последствия аварий на котором могут причинять вред жизни и здоровью населения, проживающего или осуществляющего хозяйственную деятельность в зоне воздействия поражающих факторов за пределами ее территории.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40" w:name="требования-к-сопряжению"/>
      <w:bookmarkStart w:id="41" w:name="требования-к-сопряжению"/>
      <w:bookmarkEnd w:id="41"/>
    </w:p>
    <w:p>
      <w:pPr>
        <w:pStyle w:val="Heading3"/>
        <w:rPr>
          <w:rFonts w:ascii="Times New Roman" w:hAnsi="Times New Roman"/>
          <w:color w:val="000000"/>
        </w:rPr>
      </w:pPr>
      <w:bookmarkStart w:id="42" w:name="требования-к-защите-информации"/>
      <w:bookmarkEnd w:id="42"/>
      <w:r>
        <w:rPr>
          <w:rFonts w:ascii="Times New Roman" w:hAnsi="Times New Roman"/>
          <w:b/>
          <w:bCs/>
          <w:color w:val="000000"/>
        </w:rPr>
        <w:t>Требования к защите информации</w:t>
      </w:r>
    </w:p>
    <w:p>
      <w:pPr>
        <w:pStyle w:val="Compact"/>
        <w:numPr>
          <w:ilvl w:val="0"/>
          <w:numId w:val="10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соответствовать Требованиям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среды, утвержденным приказом ФСТЭК России от 14 марта 2014 года №31 (зарегистрирован Министерством юстиции Российской Федерации 30 июня 2014 года, регистрационный №32919), с изменениями, внесенными приказами ФСТЭК России от 23 марта 2017 года №49 (зарегистрирован Министерством юстиции Российской Федерации 25 апреля 2017 года, регистрационный №46487) и от 9 августа 2018 года №138 (зарегистрирован Министерством юстиции Российской Федерации 5 сентября 2018 года, регистрационный №52071).</w:t>
      </w:r>
    </w:p>
    <w:p>
      <w:pPr>
        <w:pStyle w:val="Compact"/>
        <w:numPr>
          <w:ilvl w:val="0"/>
          <w:numId w:val="10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и локальные системы оповещения должны соответствовать классу защищенности не ниже 3 класса.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43" w:name="требования-к-защите-информации"/>
      <w:bookmarkStart w:id="44" w:name="требования-к-защите-информации"/>
      <w:bookmarkEnd w:id="44"/>
    </w:p>
    <w:p>
      <w:pPr>
        <w:pStyle w:val="Heading3"/>
        <w:rPr>
          <w:rFonts w:ascii="Times New Roman" w:hAnsi="Times New Roman"/>
          <w:color w:val="000000"/>
        </w:rPr>
      </w:pPr>
      <w:bookmarkStart w:id="45" w:name="Xa1ca117a380a4c08f6f0d8f79464d22d15da46b"/>
      <w:bookmarkEnd w:id="45"/>
      <w:r>
        <w:rPr>
          <w:rFonts w:ascii="Times New Roman" w:hAnsi="Times New Roman"/>
          <w:b/>
          <w:bCs/>
          <w:color w:val="000000"/>
        </w:rPr>
        <w:t>Требования к техническим средствам оповещения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Технические средства оповещения должны:</w:t>
        <w:br/>
        <w:t>- соответствовать требованиям ГОСТ Р 42.3.01-2014 «Национальный стандарт Российской Федерации. Гражданская оборона. Технические средства оповещения населения. Классификация. Общие технические требования», утвержденного и введенного в действие с 1 января 2015 года приказом Росстандарта от 7 апреля 2014 года №311-ст «Об утверждении национального стандарта»;</w:t>
        <w:br/>
        <w:t>- быть унифицированными, серийно выпускаемыми отечественной промышленностью, иметь соответствующие сертификаты и соответствовать современному уровню развития техники и технологий с учетом перспектив их развития, пройти Государственные испытания в МЧС России и быть допущенными для использования в системах проектируемых уровней;</w:t>
        <w:br/>
        <w:t>- обеспечивать комплексный подход при выборе физического и канального уровней построения распределительно-управляющей транспортной сети связи местной системы оповещения, исходя из условий развития телекоммуникационной составляющей ЕСЭС;</w:t>
        <w:br/>
        <w:t>- обеспечивать «гибкость» проектируемой системы оповещения в вопросах адаптации к техническим решениям развивающейся ЕСЭС без дополнительных затрат на проектирование и глобальную замену оборудования;</w:t>
        <w:br/>
        <w:t>- обеспечивать необходимую и достаточную защиту от возможного несанкционированного запуска системы оповещения в процессе эксплуатации. Использование альтернативных каналов связи (радиосвязь/ШПД/беспроводные технологии) не должно влиять на надежность системы; особое внимание уделить надежности защиты в случае применения каналов радиосвязи в системах управления оконечными устройствами оповещения;</w:t>
        <w:br/>
        <w:t>- обеспечивать необходимый контроль состояния ТСО МСО на интерфейсной панели оборудования (наличие питания, готовность к работе, исправность/неисправность, наличие обмена прохождения информации и т.д.);</w:t>
        <w:br/>
        <w:t>- обеспечивать как локальное, так и удаленное подключение программно-аппаратных средств для контроля работоспособности, настройки и проведения метрологических измерений параметров оборудования системы;</w:t>
        <w:br/>
        <w:t>- иметь блочно-модульную конструкцию, реализованную типовыми элементами и субблоками, обеспечивающими наименьшее время вывода оборудования из работы для ремонта. Компоновка элементов схемы выполняется с учетом требований эргономики по ГОСТ 12.2.049;</w:t>
        <w:br/>
        <w:t>- обеспечивать санитарные нормы для размещения в помещениях с пребыванием людей;</w:t>
        <w:br/>
        <w:t>- обеспечивать требования к вибрации и эргономике;</w:t>
        <w:br/>
        <w:t>- обеспечивать сопряжение МСО с системами оповещения различных уровней, системами мониторинга и иными информационными системами, применяемыми в области защиты населения и территорий от чрезвычайных ситуаций природного и техногенного характера на интеграционной платформе аппаратно-программного комплекса «Безопасный город» (как вариант) или иной интеграционной платформе, не требующей дополнительных затрат на перепроектирование и глобальную замену оборудования;</w:t>
        <w:br/>
        <w:t>- пройти приемочные испытания и быть рекомендованными МЧС России для построения (реконструкции) систем оповещения населения различного уровня управления в соответствии с Каталогом «Современных инновационных разработок в области систем информирования и оповещения населения для снижения рисков чрезвычайных ситуаций».</w:t>
        <w:br/>
        <w:t xml:space="preserve">- Средняя наработка на отказ </w:t>
      </w:r>
      <w:r>
        <w:rPr>
          <w:rFonts w:ascii="Times New Roman" w:hAnsi="Times New Roman"/>
          <w:color w:val="000000"/>
        </w:rPr>
        <w:t>предоставляемого</w:t>
      </w:r>
      <w:r>
        <w:rPr>
          <w:rFonts w:ascii="Times New Roman" w:hAnsi="Times New Roman"/>
          <w:color w:val="000000"/>
        </w:rPr>
        <w:t xml:space="preserve"> оборудования должна составлять не менее 30000 часов.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46" w:name="Xa1ca117a380a4c08f6f0d8f79464d22d15da46b"/>
      <w:bookmarkStart w:id="47" w:name="Xa1ca117a380a4c08f6f0d8f79464d22d15da46b"/>
      <w:bookmarkEnd w:id="47"/>
    </w:p>
    <w:p>
      <w:pPr>
        <w:pStyle w:val="Heading3"/>
        <w:rPr>
          <w:rFonts w:ascii="Times New Roman" w:hAnsi="Times New Roman"/>
          <w:color w:val="000000"/>
        </w:rPr>
      </w:pPr>
      <w:bookmarkStart w:id="48" w:name="X7defd46771e736d226073801100b2fbadae66b5"/>
      <w:bookmarkEnd w:id="48"/>
      <w:r>
        <w:rPr>
          <w:rFonts w:ascii="Times New Roman" w:hAnsi="Times New Roman"/>
          <w:b/>
          <w:bCs/>
          <w:color w:val="000000"/>
        </w:rPr>
        <w:t>Требования к размещению технических средств (оборудования) МСО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Размещение комплексов технических средств оповещения МСО должно быть осуществлено на следующих объектах:</w:t>
        <w:br/>
        <w:t>- Нижегородская область, Володарский муниципальный округ, с.п. Ильино, ул. Школьная, д. 29 (МБОУ ОШ №11)</w:t>
        <w:br/>
        <w:t>- Нижегородская область, Володарский муниципальный округ, с.п. Ильино, ул. Совхозная, д. 30 (ТО с.п. Ильино)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Размещение оконечных устройств оповещения (внешних акустических установок) необходимо осуществлять в соответствии с проектной документацией «М</w:t>
      </w:r>
      <w:r>
        <w:rPr>
          <w:rFonts w:ascii="Times New Roman" w:hAnsi="Times New Roman"/>
          <w:color w:val="000000"/>
        </w:rPr>
        <w:t>униципаль</w:t>
      </w:r>
      <w:r>
        <w:rPr>
          <w:rFonts w:ascii="Times New Roman" w:hAnsi="Times New Roman"/>
          <w:color w:val="000000"/>
        </w:rPr>
        <w:t xml:space="preserve">ная автоматизированная система централизованного оповещения населения Володарского муниципального округа Нижегородской области (с.п. Ильино)» № 1/011225 – МАСЦО, </w:t>
      </w:r>
      <w:r>
        <w:rPr>
          <w:rFonts w:ascii="Times New Roman" w:hAnsi="Times New Roman"/>
          <w:color w:val="000000"/>
        </w:rPr>
        <w:t>размещенной по следующему адресу:</w:t>
      </w:r>
    </w:p>
    <w:p>
      <w:pPr>
        <w:pStyle w:val="BodyText"/>
        <w:rPr>
          <w:rFonts w:ascii="Times New Roman" w:hAnsi="Times New Roman"/>
          <w:color w:val="000000"/>
        </w:rPr>
      </w:pPr>
      <w:hyperlink r:id="rId2">
        <w:r>
          <w:rPr>
            <w:rStyle w:val="Hyperlink"/>
            <w:rFonts w:ascii="Times New Roman" w:hAnsi="Times New Roman"/>
            <w:color w:val="000000"/>
          </w:rPr>
          <w:t>https://drive.rt.ru/pbl/63ea6c88-75f2-11f1-b11a-b026285a8d4e</w:t>
        </w:r>
      </w:hyperlink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49" w:name="X7defd46771e736d226073801100b2fbadae66b5"/>
      <w:bookmarkStart w:id="50" w:name="X7defd46771e736d226073801100b2fbadae66b5"/>
      <w:bookmarkEnd w:id="50"/>
    </w:p>
    <w:p>
      <w:pPr>
        <w:pStyle w:val="Heading3"/>
        <w:rPr>
          <w:rFonts w:ascii="Times New Roman" w:hAnsi="Times New Roman"/>
          <w:color w:val="000000"/>
        </w:rPr>
      </w:pPr>
      <w:bookmarkStart w:id="51" w:name="X35ff3bb6ddb71c3f3d8b4646d1f99ffab520b27"/>
      <w:bookmarkEnd w:id="51"/>
      <w:r>
        <w:rPr>
          <w:rFonts w:ascii="Times New Roman" w:hAnsi="Times New Roman"/>
          <w:b/>
          <w:bCs/>
          <w:color w:val="000000"/>
        </w:rPr>
        <w:t>Требования к специальному программному обеспечению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Специальное программное обеспечение (СПО) МСО должно отвечать требованиям постановления Правительства Российской Федерации от 16 ноября 2015 года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</w:p>
    <w:p>
      <w:pPr>
        <w:pStyle w:val="BodyTex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Специализированное программное обеспечение МСО должно обеспечивать:</w:t>
        <w:br/>
        <w:t>- трансляцию сигналов и речевой информации оповещения МСО и другими профильными и смежными информационными системами;</w:t>
        <w:br/>
        <w:t>- формирование алгоритмов действий должностных лиц и сценариев оповещения в соответствии с данными от систем мониторинга;</w:t>
        <w:br/>
        <w:t>- голосовое и текстовое одновременное оповещение неограниченного числа (с учетом ограниченности ресурса оператора связи) абонентов сетей фиксированной и сотовой телефонной связи;</w:t>
        <w:br/>
        <w:t>- формирование оператором «рабочей зоны» оповещения для частного сценария оповещения населения, обеспечивающей задействование использования технических средств оповещения, располагаемых в зоне оповещения, независимо от их принадлежности к уровням (формам собственности);</w:t>
        <w:br/>
        <w:t>- формирование и передачу команд управления и мониторинга на оконечные устройства оповещения в избирательном, групповом и циркулярном режимах;</w:t>
        <w:br/>
        <w:t>- формирование и передачу информации оповещения на оконечные устройства оповещения посредством заранее записанных звуковых сообщений, посредством микрофона или от подсистемы «Оповещение органов государственного управления и населения» Корпоративной информационно-коммуникационной системы государственной системы гражданской защиты;</w:t>
        <w:br/>
        <w:t>- формирование, хранение, корректировку сценариев оповещения, речевых сообщений;</w:t>
        <w:br/>
        <w:t>- отображение на электронной карте зон действия (покрытия) и ТСО МСО и других профильных и смежных систем оповещения, с привязкой к географическим координатам;</w:t>
        <w:br/>
        <w:t>- прием от оконечных устройств оповещения в автоматическом режиме диагностической информации о состоянии (наличии электропитания, несанкционированном открытии двери шкафа ТСО, перегрузке усилителя, обрыве аудиокабеля громкоговорителя, коротком замыкании цепи громкоговорителя, неисправности блока управления);</w:t>
        <w:br/>
        <w:t>- отображение на электронной карте состояния датчиков систем мониторинга ТСО МСО и других профильных и смежных систем оповещения. Индикация состояния, работоспособности или индикация изменений в штатном функционировании должны соответствовать заранее установленным цветам. Параллельно с этим в журнале мониторинга должна формироваться полная информация о состоянии оборудования системы;</w:t>
        <w:br/>
        <w:t>- взаимодействие с оконечными устройствами оповещения и нижестоящими пультами управления по проводным и беспроводным каналам связи;</w:t>
        <w:br/>
        <w:t>- мониторинг основных и резервных каналов связи для оповещения и информирования в заданной зоне;</w:t>
        <w:br/>
        <w:t>- резервирование пунктов управления МСО;</w:t>
        <w:br/>
        <w:t>- технологическую возможность сопряжения с локальными системами оповещения потенциально опасных объектов и с системами мониторинга опасных природных и техногенных факторов;</w:t>
        <w:br/>
        <w:t>- запуск теста оконечного устройства оповещения на звуковых частотах, не воспринимаемых человеческим слухом;</w:t>
        <w:br/>
        <w:t>- фотофиксацию и архивирование данных о процессе оповещения и сотруднике, производившем оповещение;</w:t>
        <w:br/>
        <w:t>- документирование результатов работы МСО в специализированном журнале.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Устанавливаемое на пунктах управления СПО и оборудование МСО должно отвечать следующим требованиям:</w:t>
        <w:br/>
        <w:t>- СПО целостное и запуск его производится однократно посредством ввода пары логин-пароль. Конечный пользователь имеет возможность выбора метода идентификации:</w:t>
        <w:br/>
        <w:t>- идентификация пользователя при входе в операционную систему;</w:t>
        <w:br/>
        <w:t>- идентификация пользователя при запуске СПО.</w:t>
        <w:br/>
        <w:t>- СПО состоит из сервера и клиентской части.</w:t>
        <w:br/>
        <w:t>- СПО содержит в своем составе модуль (шлюз), выполняющий функции сопряжения и синхронизации с системами верхнего и нижнего уровней.</w:t>
        <w:br/>
        <w:t>- СПО включает в себя модуль для конвертации и обмена регламентированными данными (в некоторых случаях формализованный список для каждой из сопрягаемых систем данных).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52" w:name="X35ff3bb6ddb71c3f3d8b4646d1f99ffab520b27"/>
      <w:bookmarkStart w:id="53" w:name="X35ff3bb6ddb71c3f3d8b4646d1f99ffab520b27"/>
      <w:bookmarkEnd w:id="53"/>
    </w:p>
    <w:p>
      <w:pPr>
        <w:pStyle w:val="Heading3"/>
        <w:rPr>
          <w:rFonts w:ascii="Times New Roman" w:hAnsi="Times New Roman"/>
          <w:color w:val="000000"/>
        </w:rPr>
      </w:pPr>
      <w:bookmarkStart w:id="54" w:name="требования-к-каналам-связи"/>
      <w:bookmarkEnd w:id="54"/>
      <w:r>
        <w:rPr>
          <w:rFonts w:ascii="Times New Roman" w:hAnsi="Times New Roman"/>
          <w:b/>
          <w:bCs/>
          <w:color w:val="000000"/>
        </w:rPr>
        <w:t>Требования к каналам связи</w:t>
      </w:r>
    </w:p>
    <w:p>
      <w:pPr>
        <w:pStyle w:val="Compact"/>
        <w:numPr>
          <w:ilvl w:val="0"/>
          <w:numId w:val="10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Комплекс технических средств системы оповещения МСО должен обеспечивать работу по нескольким каналам связи с обязательным резервированием, а также автоматическое переключение между основным и резервными каналами связи при сбоях или отказе основного канала.</w:t>
      </w:r>
    </w:p>
    <w:p>
      <w:pPr>
        <w:pStyle w:val="Compact"/>
        <w:numPr>
          <w:ilvl w:val="0"/>
          <w:numId w:val="10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качестве основных каналов управления для стационарных оконечных устройств оповещения (внешних акустических установок) задействовать проводные сети связи и передачи данных.</w:t>
      </w:r>
    </w:p>
    <w:p>
      <w:pPr>
        <w:pStyle w:val="Compact"/>
        <w:numPr>
          <w:ilvl w:val="0"/>
          <w:numId w:val="10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Сеть должна быть изолирована программно и (или) аппаратно от других сетей, в том числе Интернет, как минимум на сетевом уровне в соответствии с 4-м профилем защиты.</w:t>
      </w:r>
    </w:p>
    <w:p>
      <w:pPr>
        <w:pStyle w:val="Compact"/>
        <w:numPr>
          <w:ilvl w:val="0"/>
          <w:numId w:val="11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Преимущественное использование сетей передачи данных, находящихся в собственности (передаваемых в собственность) муниципального образования.</w:t>
      </w:r>
    </w:p>
    <w:p>
      <w:pPr>
        <w:pStyle w:val="Compact"/>
        <w:numPr>
          <w:ilvl w:val="0"/>
          <w:numId w:val="11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Каналообразующее оборудование системы оповещения обеспечивается электропитанием согласно паспортных данных на оборудование по категории, определяемой местными условиями наличия и возможностей электросетей объекта, на котором устанавливаются, с возможностью работы аппаратуры оповещения в случае пропадания электропитания от источников бесперебойного питания (минимальное время автономной работы - не менее 6 ч в дежурном режиме ожидания и не менее 2 ч в режиме передачи сигналов и информации оповещения).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55" w:name="требования-к-каналам-связи"/>
      <w:bookmarkStart w:id="56" w:name="требования-к-каналам-связи"/>
      <w:bookmarkEnd w:id="56"/>
    </w:p>
    <w:p>
      <w:pPr>
        <w:pStyle w:val="Heading3"/>
        <w:rPr>
          <w:rFonts w:ascii="Times New Roman" w:hAnsi="Times New Roman"/>
          <w:color w:val="000000"/>
        </w:rPr>
      </w:pPr>
      <w:bookmarkStart w:id="57" w:name="требования-к-безопасности"/>
      <w:bookmarkEnd w:id="57"/>
      <w:r>
        <w:rPr>
          <w:rFonts w:ascii="Times New Roman" w:hAnsi="Times New Roman"/>
          <w:b/>
          <w:bCs/>
          <w:color w:val="000000"/>
        </w:rPr>
        <w:t>Требования к безопасности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удовлетворять требованиям:</w:t>
        <w:br/>
        <w:t>- «Межотраслевых правил по охране труда (Правил безопасности) при эксплуатации электроустановок» РД 153-34.0-03.150-00;</w:t>
        <w:br/>
        <w:t>- «Правил пожарной безопасности для энергетических предприятий» РД 153-34.0-03.301-00;</w:t>
        <w:br/>
        <w:t>- «Правил технической эксплуатации электрических станций и сетей Российской Федерации» 2003 г.;</w:t>
        <w:br/>
        <w:t>- ГОСТ, ОСТ, ТУ, норм и правил техники безопасности и охраны труда в процессе выполнения строительно-монтажных и пусконаладочных работ, эксплуатации и технического обслуживания оборудования МСО;</w:t>
        <w:br/>
        <w:t>- требованиям соответствующих разделов Проекта «Мunicipальная автоматизированная система централизованного оповещения населения Володарского муниципального округа Нижегородской области (с.п. Ильино)» № 1/011225 – МАСЦО.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58" w:name="требования-к-безопасности"/>
      <w:bookmarkStart w:id="59" w:name="требования-к-безопасности"/>
      <w:bookmarkEnd w:id="59"/>
    </w:p>
    <w:p>
      <w:pPr>
        <w:pStyle w:val="Heading3"/>
        <w:rPr>
          <w:rFonts w:ascii="Times New Roman" w:hAnsi="Times New Roman"/>
          <w:color w:val="000000"/>
        </w:rPr>
      </w:pPr>
      <w:bookmarkStart w:id="60" w:name="X5d4b6314bece68b02bb71138a3643ff3a22ade6"/>
      <w:bookmarkEnd w:id="60"/>
      <w:r>
        <w:rPr>
          <w:rFonts w:ascii="Times New Roman" w:hAnsi="Times New Roman"/>
          <w:b/>
          <w:bCs/>
          <w:color w:val="000000"/>
        </w:rPr>
        <w:t>Требования к защите от несанкционированного доступа</w:t>
      </w:r>
    </w:p>
    <w:p>
      <w:pPr>
        <w:pStyle w:val="Compact"/>
        <w:numPr>
          <w:ilvl w:val="0"/>
          <w:numId w:val="11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предотвращения несанкционированного доступа МСО должна иметь элементы защиты информации.</w:t>
      </w:r>
    </w:p>
    <w:p>
      <w:pPr>
        <w:pStyle w:val="Compact"/>
        <w:numPr>
          <w:ilvl w:val="0"/>
          <w:numId w:val="11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Компоненты информационного и программного обеспечения МСО должны удовлетворять требованиям по защите информации от несанкционированного доступа в соответствии с требованиями ГОСТ Р 50322-96, ГОСТ Р 50739-95.</w:t>
      </w:r>
    </w:p>
    <w:p>
      <w:pPr>
        <w:pStyle w:val="Compact"/>
        <w:numPr>
          <w:ilvl w:val="0"/>
          <w:numId w:val="114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предусматривать возможность разграничения прав доступа пользователей. Пользователи должны иметь возможность доступа к информации в системе только в объеме своих полномочий.</w:t>
      </w:r>
    </w:p>
    <w:p>
      <w:pPr>
        <w:pStyle w:val="Compact"/>
        <w:numPr>
          <w:ilvl w:val="0"/>
          <w:numId w:val="11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Система защиты информации от несанкционированного доступа должна включать в себя следующие подсистемы:</w:t>
      </w:r>
    </w:p>
    <w:p>
      <w:pPr>
        <w:pStyle w:val="Compact"/>
        <w:numPr>
          <w:ilvl w:val="1"/>
          <w:numId w:val="11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подсистема управления доступом;</w:t>
      </w:r>
    </w:p>
    <w:p>
      <w:pPr>
        <w:pStyle w:val="Compact"/>
        <w:numPr>
          <w:ilvl w:val="1"/>
          <w:numId w:val="11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подсистема регистрации и учета;</w:t>
      </w:r>
    </w:p>
    <w:p>
      <w:pPr>
        <w:pStyle w:val="Compact"/>
        <w:numPr>
          <w:ilvl w:val="1"/>
          <w:numId w:val="11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подсистема обеспечения целостности.</w:t>
      </w:r>
    </w:p>
    <w:p>
      <w:pPr>
        <w:pStyle w:val="Compact"/>
        <w:numPr>
          <w:ilvl w:val="0"/>
          <w:numId w:val="11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подсистеме регистрации и учета осуществляется регистрация изменений полномочий субъектов доступа и статуса объектов доступа. В параметрах регистрации указываются дата и время изменения полномочий, идентификатор субъекта доступа (администратора), осуществившего изменения.</w:t>
      </w:r>
    </w:p>
    <w:p>
      <w:pPr>
        <w:pStyle w:val="Compact"/>
        <w:numPr>
          <w:ilvl w:val="0"/>
          <w:numId w:val="12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Защита программного обеспечения от несанкционированного доступа к управлению системы осуществляется установленными в пультах управления и контроля системы индивидуальными кодами дежурных операторов и приоритетами пультов. Доступ к программному обеспечению должен быть ограничен узким кругом лиц, ответственных за работоспособность системы и за принятие решения об оповещении. Для доступа к объектам системы управления МСО требуется идентификация и авторизация.</w:t>
      </w:r>
    </w:p>
    <w:p>
      <w:pPr>
        <w:pStyle w:val="Compact"/>
        <w:numPr>
          <w:ilvl w:val="0"/>
          <w:numId w:val="12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к защите системы от несанкционированного доступа выполняются путем установки части оборудования на существующих площадях административных и производственных зданий, наличия у части оборудования антивандального исполнения и размещения в шкафах промышленного исполнения для обеспечения минимального доступа к оборудованию.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61" w:name="X5d4b6314bece68b02bb71138a3643ff3a22ade6"/>
      <w:bookmarkStart w:id="62" w:name="X5d4b6314bece68b02bb71138a3643ff3a22ade6"/>
      <w:bookmarkEnd w:id="62"/>
    </w:p>
    <w:p>
      <w:pPr>
        <w:pStyle w:val="Heading3"/>
        <w:rPr>
          <w:rFonts w:ascii="Times New Roman" w:hAnsi="Times New Roman"/>
          <w:color w:val="000000"/>
        </w:rPr>
      </w:pPr>
      <w:bookmarkStart w:id="63" w:name="X9d5f007fe08d4e6e5c0316b9b7704442bf428b3"/>
      <w:bookmarkEnd w:id="63"/>
      <w:r>
        <w:rPr>
          <w:rFonts w:ascii="Times New Roman" w:hAnsi="Times New Roman"/>
          <w:b/>
          <w:bCs/>
          <w:color w:val="000000"/>
        </w:rPr>
        <w:t>Требования к электропитанию, надежности, сохранности информации при потере питания и отказе составных частей</w:t>
      </w:r>
    </w:p>
    <w:p>
      <w:pPr>
        <w:pStyle w:val="Compact"/>
        <w:numPr>
          <w:ilvl w:val="0"/>
          <w:numId w:val="12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Электропитание и заземление аппаратуры комплекса технических средств оповещения МСО предусмотреть от существующих источников промышленного электропитания напряжением 220В 50Гц и существующих или монтируемых, если это предусмотрено ПСД, систем заземления.</w:t>
      </w:r>
    </w:p>
    <w:p>
      <w:pPr>
        <w:pStyle w:val="Compact"/>
        <w:numPr>
          <w:ilvl w:val="0"/>
          <w:numId w:val="12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Оборудование ПСРО МСО (устройства запуска, управления и мониторинга, внешние акустические установки, электрозвуковые устройства, громкоговорители и т.п.) обеспечивается электропитанием согласно паспортных данных на оборудование по категории, определяемой местными условиями наличия и возможностей электросетей объекта, на котором устанавливаются, с возможностью работы аппаратуры оповещения в случае пропадания электропитания от источников бесперебойного питания (минимальное время автономной работы - не менее 6 ч в дежурном режиме ожидания и не менее 2 ч в режиме передачи сигналов и информации оповещения).</w:t>
      </w:r>
    </w:p>
    <w:p>
      <w:pPr>
        <w:pStyle w:val="Compact"/>
        <w:numPr>
          <w:ilvl w:val="0"/>
          <w:numId w:val="124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каждом внешнем устройстве МСО должен быть установлен узел учета электроэнергии для последующей оплаты потребленной устройством электроэнергии за счет средств бюджета Володарского муниципального округа Нижегородской области.</w:t>
      </w:r>
    </w:p>
    <w:p>
      <w:pPr>
        <w:pStyle w:val="Compact"/>
        <w:numPr>
          <w:ilvl w:val="0"/>
          <w:numId w:val="12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 технические средства должны иметь защитное заземление в соответствии с ГОСТ 12.1.030.</w:t>
      </w:r>
    </w:p>
    <w:p>
      <w:pPr>
        <w:pStyle w:val="Compact"/>
        <w:numPr>
          <w:ilvl w:val="0"/>
          <w:numId w:val="12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Защита оборудования от влияния внешних воздействий должна осуществляться в рамках общих организационно-технических мероприятий по созданию и физической защите ресурсов оборудования.</w:t>
      </w:r>
    </w:p>
    <w:p>
      <w:pPr>
        <w:pStyle w:val="Compact"/>
        <w:numPr>
          <w:ilvl w:val="0"/>
          <w:numId w:val="12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Внешние устройства, монтируемые на улице, должны быть защищены корпусами или кожухами в вандалоустойчивом исполнении.</w:t>
      </w:r>
    </w:p>
    <w:p>
      <w:pPr>
        <w:pStyle w:val="Compact"/>
        <w:numPr>
          <w:ilvl w:val="0"/>
          <w:numId w:val="12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сохранять работоспособность при следующих значениях климатических факторов:</w:t>
      </w:r>
    </w:p>
    <w:p>
      <w:pPr>
        <w:pStyle w:val="Compact"/>
        <w:numPr>
          <w:ilvl w:val="1"/>
          <w:numId w:val="12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рабочая температура окружающей среды для оборудования, эксплуатируемого внутри помещений, от плюс 5 до плюс 45°С, для оборудования или линейно-кабельных сооружений, расположенных вне отапливаемых помещений, от минус 40 до плюс 50°С;</w:t>
      </w:r>
    </w:p>
    <w:p>
      <w:pPr>
        <w:pStyle w:val="Compact"/>
        <w:numPr>
          <w:ilvl w:val="1"/>
          <w:numId w:val="13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относительная влажность до 80% при плюс 25°С, для оборудования и линейно-кабельных сооружений, расположенных вне отапливаемых помещений, до 98% при плюс 35°С.</w:t>
      </w:r>
    </w:p>
    <w:p>
      <w:pPr>
        <w:pStyle w:val="Compact"/>
        <w:numPr>
          <w:ilvl w:val="0"/>
          <w:numId w:val="13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Линии связи и оборудование должны сохранять требуемую работоспособность в условиях грозы и других неблагоприятных природных явлений.</w:t>
      </w:r>
    </w:p>
    <w:p>
      <w:pPr>
        <w:pStyle w:val="Compact"/>
        <w:numPr>
          <w:ilvl w:val="0"/>
          <w:numId w:val="13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обеспечения сохранности оперативной информации и функционирования программного обеспечения, а также комплекса технических средств системы, должно быть предусмотрено использование источников бесперебойного питания (с функцией автоматического подзаряда) с организацией непрерывного контроля за состоянием аккумуляторных батарей (минимальное время автономной работы - не менее 6 ч в дежурном режиме ожидания и не менее 2 ч в режиме передачи сигналов и информации оповещения).</w:t>
      </w:r>
    </w:p>
    <w:p>
      <w:pPr>
        <w:pStyle w:val="Compact"/>
        <w:numPr>
          <w:ilvl w:val="0"/>
          <w:numId w:val="13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Техническая надежность и отказоустойчивость МСО обеспечивается:</w:t>
      </w:r>
    </w:p>
    <w:p>
      <w:pPr>
        <w:pStyle w:val="Compact"/>
        <w:numPr>
          <w:ilvl w:val="1"/>
          <w:numId w:val="134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высокой степенью отказоустойчивости внедряемого современного оборудования, достигаемой за счет надежности работы аппаратной части (базы) и программного обеспечения;</w:t>
      </w:r>
    </w:p>
    <w:p>
      <w:pPr>
        <w:pStyle w:val="Compact"/>
        <w:numPr>
          <w:ilvl w:val="1"/>
          <w:numId w:val="13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использованием автоматических средств контроля технического состояния и работоспособности МСО и каналов связи в целом;</w:t>
      </w:r>
    </w:p>
    <w:p>
      <w:pPr>
        <w:pStyle w:val="Compact"/>
        <w:numPr>
          <w:ilvl w:val="1"/>
          <w:numId w:val="13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использованием в работе резервных каналов (маршрутов) связи (альтернативной маршрутизации), позволяющих компенсировать работу неисправных участков сети и при отказах или сбоях технических средств;</w:t>
      </w:r>
    </w:p>
    <w:p>
      <w:pPr>
        <w:pStyle w:val="Compact"/>
        <w:numPr>
          <w:ilvl w:val="1"/>
          <w:numId w:val="13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защитой от аварий оборудования систем электропитания (применение источников бесперебойного питания);</w:t>
      </w:r>
    </w:p>
    <w:p>
      <w:pPr>
        <w:pStyle w:val="Compact"/>
        <w:numPr>
          <w:ilvl w:val="1"/>
          <w:numId w:val="13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сигнализацией о вскрытии устройств, блоков, шкафов и т.д. на пульты управления системой оповещения своего уровня;</w:t>
      </w:r>
    </w:p>
    <w:p>
      <w:pPr>
        <w:pStyle w:val="Compact"/>
        <w:numPr>
          <w:ilvl w:val="1"/>
          <w:numId w:val="13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обеспечением защиты от несанкционированного запуска аппаратуры, а также ошибочных действий оперативного дежурного и обслуживающего персонала;</w:t>
      </w:r>
    </w:p>
    <w:p>
      <w:pPr>
        <w:pStyle w:val="Compact"/>
        <w:numPr>
          <w:ilvl w:val="1"/>
          <w:numId w:val="14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обеспечением непрерывной работы аппаратуры и программного обеспечения без перерывов и ухудшения технических характеристик в рабочем и дежурном режимах. Основным режимом работы является дежурный.</w:t>
      </w:r>
    </w:p>
    <w:p>
      <w:pPr>
        <w:pStyle w:val="Compact"/>
        <w:numPr>
          <w:ilvl w:val="0"/>
          <w:numId w:val="14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 предусматривать возможность ремонтного режима каждого отдельного устройства с минимальным ограничением выполняемых функций.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64" w:name="X9d5f007fe08d4e6e5c0316b9b7704442bf428b3"/>
      <w:bookmarkStart w:id="65" w:name="X9d5f007fe08d4e6e5c0316b9b7704442bf428b3"/>
      <w:bookmarkEnd w:id="65"/>
    </w:p>
    <w:p>
      <w:pPr>
        <w:pStyle w:val="Heading3"/>
        <w:rPr>
          <w:rFonts w:ascii="Times New Roman" w:hAnsi="Times New Roman"/>
          <w:color w:val="000000"/>
        </w:rPr>
      </w:pPr>
      <w:bookmarkStart w:id="66" w:name="Xe03527794ef0078789d5eed591df78c542b3f44"/>
      <w:bookmarkEnd w:id="66"/>
      <w:r>
        <w:rPr>
          <w:rFonts w:ascii="Times New Roman" w:hAnsi="Times New Roman"/>
          <w:b/>
          <w:bCs/>
          <w:color w:val="000000"/>
        </w:rPr>
        <w:t xml:space="preserve">Требования к составу и характеристикам </w:t>
      </w:r>
      <w:r>
        <w:rPr>
          <w:rFonts w:ascii="Times New Roman" w:hAnsi="Times New Roman"/>
          <w:b/>
          <w:bCs/>
          <w:color w:val="000000"/>
        </w:rPr>
        <w:t>предост</w:t>
      </w:r>
      <w:r>
        <w:rPr>
          <w:rFonts w:ascii="Times New Roman" w:hAnsi="Times New Roman"/>
          <w:b/>
          <w:bCs/>
          <w:color w:val="000000"/>
        </w:rPr>
        <w:t>авляемого оборудования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Наименование, функциональные и качественные характеристики </w:t>
      </w:r>
      <w:r>
        <w:rPr>
          <w:rFonts w:ascii="Times New Roman" w:hAnsi="Times New Roman"/>
          <w:color w:val="000000"/>
        </w:rPr>
        <w:t>предостав</w:t>
      </w:r>
      <w:r>
        <w:rPr>
          <w:rFonts w:ascii="Times New Roman" w:hAnsi="Times New Roman"/>
          <w:color w:val="000000"/>
        </w:rPr>
        <w:t>ляемого оборудования (товара) должны соответствовать Проекту «</w:t>
      </w:r>
      <w:r>
        <w:rPr>
          <w:rFonts w:ascii="Times New Roman" w:hAnsi="Times New Roman"/>
          <w:color w:val="000000"/>
        </w:rPr>
        <w:t>Муниципал</w:t>
      </w:r>
      <w:r>
        <w:rPr>
          <w:rFonts w:ascii="Times New Roman" w:hAnsi="Times New Roman"/>
          <w:color w:val="000000"/>
        </w:rPr>
        <w:t>ьная автоматизированная система централизованного оповещения населения Володарского муниципального округа Нижегородской области (с.п. Ильино)» № 1/011225 – МАСЦО.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Состав </w:t>
      </w:r>
      <w:r>
        <w:rPr>
          <w:rFonts w:ascii="Times New Roman" w:hAnsi="Times New Roman"/>
          <w:color w:val="000000"/>
        </w:rPr>
        <w:t>предоста</w:t>
      </w:r>
      <w:r>
        <w:rPr>
          <w:rFonts w:ascii="Times New Roman" w:hAnsi="Times New Roman"/>
          <w:color w:val="000000"/>
        </w:rPr>
        <w:t>вляемого оборудования указан в приложении №1 к настоящему Техническому заданию.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67" w:name="Xe03527794ef0078789d5eed591df78c542b3f44"/>
      <w:bookmarkStart w:id="68" w:name="Xe03527794ef0078789d5eed591df78c542b3f44"/>
      <w:bookmarkEnd w:id="68"/>
    </w:p>
    <w:p>
      <w:pPr>
        <w:pStyle w:val="Heading3"/>
        <w:rPr>
          <w:rFonts w:ascii="Times New Roman" w:hAnsi="Times New Roman"/>
          <w:color w:val="000000"/>
        </w:rPr>
      </w:pPr>
      <w:bookmarkStart w:id="69" w:name="требования-к-подрядчику"/>
      <w:bookmarkEnd w:id="69"/>
      <w:r>
        <w:rPr>
          <w:rFonts w:ascii="Times New Roman" w:hAnsi="Times New Roman"/>
          <w:b/>
          <w:bCs/>
          <w:color w:val="000000"/>
        </w:rPr>
        <w:t>Требования к Подрядчику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Подрядчик должен:</w:t>
        <w:br/>
        <w:t>- пройти специальную подготовку и стажировку на заводе-изготовителе оборудования или авторизованном сервисном центре завода-изготовителя, иметь практические навыки в использовании техники по назначению, ее техническом обслуживании, что должно подтверждаться соответствующими сертификатами завода-изготовителя;</w:t>
        <w:br/>
        <w:t>- иметь специалистов с удостоверениями проверки знаний правил и особенностей технического обслуживания технических средств системы, иметь удостоверения о проверке знаний правил техники безопасности и требований охраны труда;</w:t>
        <w:br/>
        <w:t>- иметь необходимые профессиональные знания и навыки, обладать собственными необходимыми трудовыми ресурсами, оборудованием и другими материальными средствами для выполнения обязательств по построению МСО, финансовыми средствами для исполнения обязательств по уплате налогов в бюджеты всех уровней и обязательных платежей в государственные внебюджетные фонды;</w:t>
        <w:br/>
        <w:t>- иметь обученных специалистов для проведения диагностики и ремонта оборудования систем оповещения на территории Нижегородской области, оборудование и другие материальные средства для выполнения обязательств по гарантийному обслуживанию МСО в соответствии с совместным приказом МЧС России и Минцифры России №579/366 от 31.07.2020 г. «Об утверждении Положения по организации эксплуатационно-технического обслуживания систем оповещения населения»;</w:t>
        <w:br/>
        <w:t>- иметь группу III по электробезопасности (для работы в электроустановках до 1000 В) в соответствии с «Правилами по охране труда при эксплуатации электроустановок»;</w:t>
        <w:br/>
        <w:t>- уточнять требования к технологическим решениям и местам установки ТСО МСО и согласовывать их в ходе проведения работ;</w:t>
        <w:br/>
        <w:t>- минимизировать затраты на создание, содержание и эксплуатационно-техническое обслуживание МСО, на использование каналов связи.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70" w:name="требования-к-подрядчику"/>
      <w:bookmarkStart w:id="71" w:name="требования-к-подрядчику"/>
      <w:bookmarkEnd w:id="71"/>
    </w:p>
    <w:p>
      <w:pPr>
        <w:pStyle w:val="Heading3"/>
        <w:rPr>
          <w:rFonts w:ascii="Times New Roman" w:hAnsi="Times New Roman"/>
          <w:color w:val="000000"/>
        </w:rPr>
      </w:pPr>
      <w:bookmarkStart w:id="72" w:name="X16b65354e39bf5d57ad280c376270392caf0c83"/>
      <w:bookmarkEnd w:id="72"/>
      <w:r>
        <w:rPr>
          <w:rFonts w:ascii="Times New Roman" w:hAnsi="Times New Roman"/>
          <w:b/>
          <w:bCs/>
          <w:color w:val="000000"/>
        </w:rPr>
        <w:t>Требования к эксплуатации, техническому обслуживанию и ремонту МСО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МСО должна:</w:t>
        <w:br/>
        <w:t>- находиться в постоянной готовности к применению по назначению. Режим работы - круглосуточный;</w:t>
        <w:br/>
        <w:t>- иметь разработанный алгоритм (перечень регламентных мероприятий, наименование и расчет необходимой потребности расходных материалов и специальных технических средств), обеспечивающий безотказную эксплуатацию комплекса средств оповещения;</w:t>
        <w:br/>
        <w:t>- иметь необходимый запас ЗИП для технического обслуживания и текущего ремонта изделий.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Оконечные устройства МСО должны быть защищены от негативного воздействия природных метеорологических факторов (солнце, снег, дождь, обледенение, грозовые разряды, сильный ветер).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ЭТО оборудования оповещения и содержание каналов связи, после сдачи работ, осуществляется на основании отдельных договоров, заключаемых Заказчиком в установленном порядке.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ЭТО, ремонт оборудования и переустановка СПО производятся:</w:t>
        <w:br/>
        <w:t>- в гарантийный период – в соответствии с гарантийными обязательствами Подрядчика;</w:t>
        <w:br/>
        <w:t>- в постгарантийный период – по отдельно заключаемым договорам.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Подрядчиком, в гарантийный период и постгарантийный, по отдельно заключаемым договорам, организуется техническая поддержка по вопросам эксплуатации и использования </w:t>
      </w:r>
      <w:r>
        <w:rPr>
          <w:rFonts w:ascii="Times New Roman" w:hAnsi="Times New Roman"/>
          <w:color w:val="000000"/>
        </w:rPr>
        <w:t>предост</w:t>
      </w:r>
      <w:r>
        <w:rPr>
          <w:rFonts w:ascii="Times New Roman" w:hAnsi="Times New Roman"/>
          <w:color w:val="000000"/>
        </w:rPr>
        <w:t>авляемого оборудования и СПО:</w:t>
        <w:br/>
        <w:t>- по телефону - с 8.00 до 20.00 в рабочие дни;</w:t>
        <w:br/>
        <w:t>- по электронной почте – круглосуточно (прием сообщений), с 8.00 до 20.00 в рабочие дни (предоставление ответов на сообщения).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73" w:name="X16b65354e39bf5d57ad280c376270392caf0c83"/>
      <w:bookmarkStart w:id="74" w:name="X16b65354e39bf5d57ad280c376270392caf0c83"/>
      <w:bookmarkEnd w:id="74"/>
    </w:p>
    <w:p>
      <w:pPr>
        <w:pStyle w:val="Heading3"/>
        <w:rPr>
          <w:rFonts w:ascii="Times New Roman" w:hAnsi="Times New Roman"/>
          <w:color w:val="000000"/>
        </w:rPr>
      </w:pPr>
      <w:bookmarkStart w:id="75" w:name="сроки-выполнения-работ"/>
      <w:bookmarkEnd w:id="75"/>
      <w:r>
        <w:rPr>
          <w:rFonts w:ascii="Times New Roman" w:hAnsi="Times New Roman"/>
          <w:b/>
          <w:bCs/>
          <w:color w:val="000000"/>
        </w:rPr>
        <w:t>Сроки выполнения работ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Сроки выполнения работ с даты подписания </w:t>
      </w:r>
      <w:r>
        <w:rPr>
          <w:rFonts w:ascii="Times New Roman" w:hAnsi="Times New Roman"/>
          <w:color w:val="000000"/>
        </w:rPr>
        <w:t>Договора</w:t>
      </w:r>
      <w:r>
        <w:rPr>
          <w:rFonts w:ascii="Times New Roman" w:hAnsi="Times New Roman"/>
          <w:color w:val="000000"/>
        </w:rPr>
        <w:t xml:space="preserve"> не позднее 15.12.2026 г..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Этапы выполнения работ по построению МСО и сроки их реализации в рамках общего срока выполнения работ указаны в приложении №2 к настоящему Техническому заданию.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76" w:name="сроки-выполнения-работ"/>
      <w:bookmarkStart w:id="77" w:name="сроки-выполнения-работ"/>
      <w:bookmarkEnd w:id="77"/>
    </w:p>
    <w:p>
      <w:pPr>
        <w:pStyle w:val="Heading3"/>
        <w:rPr>
          <w:rFonts w:ascii="Times New Roman" w:hAnsi="Times New Roman"/>
          <w:color w:val="000000"/>
        </w:rPr>
      </w:pPr>
      <w:bookmarkStart w:id="78" w:name="порядок-выполнения-работ"/>
      <w:bookmarkEnd w:id="78"/>
      <w:r>
        <w:rPr>
          <w:rFonts w:ascii="Times New Roman" w:hAnsi="Times New Roman"/>
          <w:b/>
          <w:bCs/>
          <w:color w:val="000000"/>
        </w:rPr>
        <w:t>Порядок выполнения работ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ходе выполнения работ Подрядчик самостоятельно (собственными силами и за счет собственных средств) осуществляет:</w:t>
        <w:br/>
        <w:t>- подключение вновь построенных на площадках коммуникаций;</w:t>
        <w:br/>
        <w:t>- согласование мест размещения оборудования МСО с владельцами помещений (объектов, земельных участков и т.д.), а также осуществляет все иные действия и формальности, необходимые для выдачи на имя Заказчика уполномоченными органами и организациями всех необходимых документов и согласований, достаточных для выполнения работ, сдачи оборудования МСО в эксплуатацию, эксплуатации оборудования МСО;</w:t>
        <w:br/>
        <w:t>- закупку, доставку до места установки, получение технических условий для подключения и подключение к системам обеспечения его функционирования (электросети, сети связи и т.д.) оборудования МСО, монтажные и пуско-наладочные работы;</w:t>
        <w:br/>
        <w:t>- организацию необходимых каналов связи и (или) построение сетей управления в Володарском муниципальном округе Нижегородской области, а также их содержание до момента приема МСО в эксплуатацию;</w:t>
        <w:br/>
        <w:t>- актуализацию проектных решений (при необходимости) и согласование вносимых изменений с Заказчиком;</w:t>
        <w:br/>
        <w:t>- монтаж оборудования и пуско-наладочные работы должны проводиться специализированной организацией, отвечающей требованиям раздела III настоящего Технического задания;</w:t>
        <w:br/>
        <w:t>- первичное обучение специалистов дежурных смен ЕДДС Володарского муниципального округа Нижегородской области.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Подрядчик, заблаговременно, согласует с Заказчиком дату начала, сроки и порядок проведения работ по приемке МСО в эксплуатацию (опытную эксплуатацию).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79" w:name="порядок-выполнения-работ"/>
      <w:bookmarkStart w:id="80" w:name="порядок-выполнения-работ"/>
      <w:bookmarkEnd w:id="80"/>
    </w:p>
    <w:p>
      <w:pPr>
        <w:pStyle w:val="Heading3"/>
        <w:rPr>
          <w:rFonts w:ascii="Times New Roman" w:hAnsi="Times New Roman"/>
          <w:color w:val="000000"/>
        </w:rPr>
      </w:pPr>
      <w:bookmarkStart w:id="81" w:name="Xebe1865dabf89d6a2d6c26a3e1117e7e3a07544"/>
      <w:bookmarkEnd w:id="81"/>
      <w:r>
        <w:rPr>
          <w:rFonts w:ascii="Times New Roman" w:hAnsi="Times New Roman"/>
          <w:b/>
          <w:bCs/>
          <w:color w:val="000000"/>
        </w:rPr>
        <w:t>Проведение приемо-сдаточных испытаний МСО</w:t>
      </w:r>
    </w:p>
    <w:p>
      <w:pPr>
        <w:pStyle w:val="Heading4"/>
        <w:rPr>
          <w:rFonts w:ascii="Times New Roman" w:hAnsi="Times New Roman"/>
          <w:color w:val="000000"/>
        </w:rPr>
      </w:pPr>
      <w:bookmarkStart w:id="82" w:name="цель-испытаний"/>
      <w:r>
        <w:rPr>
          <w:rFonts w:ascii="Times New Roman" w:hAnsi="Times New Roman"/>
          <w:b/>
          <w:bCs/>
          <w:color w:val="000000"/>
        </w:rPr>
        <w:t>Цель испытаний:</w:t>
      </w:r>
    </w:p>
    <w:p>
      <w:pPr>
        <w:pStyle w:val="Compact"/>
        <w:numPr>
          <w:ilvl w:val="0"/>
          <w:numId w:val="14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проверка работоспособности программных и аппаратных средств каждого отдельного сегмента МСО;</w:t>
      </w:r>
    </w:p>
    <w:p>
      <w:pPr>
        <w:pStyle w:val="Compact"/>
        <w:numPr>
          <w:ilvl w:val="0"/>
          <w:numId w:val="14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проверка работоспособности программных и аппаратных средств всего комплекса оборудования МСО;</w:t>
      </w:r>
    </w:p>
    <w:p>
      <w:pPr>
        <w:pStyle w:val="Compact"/>
        <w:numPr>
          <w:ilvl w:val="0"/>
          <w:numId w:val="14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проверка соответствия состава и характеристик МСО требованиям технического проекта;</w:t>
      </w:r>
    </w:p>
    <w:p>
      <w:pPr>
        <w:pStyle w:val="Compact"/>
        <w:numPr>
          <w:ilvl w:val="0"/>
          <w:numId w:val="14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проверка технологии функционирования (работоспособности) МСО;</w:t>
      </w:r>
    </w:p>
    <w:p>
      <w:pPr>
        <w:pStyle w:val="Compact"/>
        <w:numPr>
          <w:ilvl w:val="0"/>
          <w:numId w:val="14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проверка полноты эксплуатационной и регламентной документации.</w:t>
      </w:r>
    </w:p>
    <w:p>
      <w:pPr>
        <w:pStyle w:val="FirstParagraph"/>
        <w:rPr>
          <w:rFonts w:ascii="Times New Roman" w:hAnsi="Times New Roman"/>
          <w:color w:val="000000"/>
        </w:rPr>
      </w:pPr>
      <w:bookmarkStart w:id="83" w:name="цель-испытаний"/>
      <w:r>
        <w:rPr>
          <w:rFonts w:ascii="Times New Roman" w:hAnsi="Times New Roman"/>
          <w:color w:val="000000"/>
        </w:rPr>
        <w:t>В ходе проведения испытаний МСО проверить выполнение пункта 2 раздела II настоящего Технического задания.</w:t>
      </w:r>
      <w:bookmarkEnd w:id="83"/>
    </w:p>
    <w:p>
      <w:pPr>
        <w:pStyle w:val="Heading4"/>
        <w:rPr>
          <w:rFonts w:ascii="Times New Roman" w:hAnsi="Times New Roman"/>
          <w:color w:val="000000"/>
        </w:rPr>
      </w:pPr>
      <w:bookmarkStart w:id="84" w:name="требования-к-испытаниям"/>
      <w:bookmarkEnd w:id="84"/>
      <w:r>
        <w:rPr>
          <w:rFonts w:ascii="Times New Roman" w:hAnsi="Times New Roman"/>
          <w:b/>
          <w:bCs/>
          <w:color w:val="000000"/>
        </w:rPr>
        <w:t>Требования к испытаниям:</w:t>
      </w:r>
    </w:p>
    <w:p>
      <w:pPr>
        <w:pStyle w:val="Compact"/>
        <w:numPr>
          <w:ilvl w:val="0"/>
          <w:numId w:val="14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Испытания должны проводиться в соответствии с разработанной Программой и методикой испытаний МСО (ПМИ).</w:t>
      </w:r>
    </w:p>
    <w:p>
      <w:pPr>
        <w:pStyle w:val="Compact"/>
        <w:numPr>
          <w:ilvl w:val="0"/>
          <w:numId w:val="14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Приемочные испытания МСО проводятся для определения соответствия созданной МСО настоящему Техническому заданию, подтверждения функционирования п</w:t>
      </w:r>
      <w:r>
        <w:rPr>
          <w:rFonts w:ascii="Times New Roman" w:hAnsi="Times New Roman"/>
          <w:color w:val="000000"/>
        </w:rPr>
        <w:t>редоста</w:t>
      </w:r>
      <w:r>
        <w:rPr>
          <w:rFonts w:ascii="Times New Roman" w:hAnsi="Times New Roman"/>
          <w:color w:val="000000"/>
        </w:rPr>
        <w:t>вляемого оборудования оповещения и решения вопроса о возможности ввода МСО в опытную эксплуатацию (эксплуатацию).</w:t>
      </w:r>
    </w:p>
    <w:p>
      <w:pPr>
        <w:pStyle w:val="Compact"/>
        <w:numPr>
          <w:ilvl w:val="0"/>
          <w:numId w:val="14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момент сдачи МСО в опытную эксплуатацию (эксплуатацию) МСО должна быть в работоспособном состоянии.</w:t>
      </w:r>
    </w:p>
    <w:p>
      <w:pPr>
        <w:pStyle w:val="Compact"/>
        <w:numPr>
          <w:ilvl w:val="0"/>
          <w:numId w:val="150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рамках проведения приемочных испытаний МСО проводится проверка:</w:t>
      </w:r>
    </w:p>
    <w:p>
      <w:pPr>
        <w:pStyle w:val="Compact"/>
        <w:numPr>
          <w:ilvl w:val="1"/>
          <w:numId w:val="15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комплектности и качества эксплуатационной и исполнительной документации и отчетных документов;</w:t>
      </w:r>
    </w:p>
    <w:p>
      <w:pPr>
        <w:pStyle w:val="Compact"/>
        <w:numPr>
          <w:ilvl w:val="1"/>
          <w:numId w:val="15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комплектности технических средств объекта испытаний и его соответствия проекту;</w:t>
      </w:r>
    </w:p>
    <w:p>
      <w:pPr>
        <w:pStyle w:val="Compact"/>
        <w:numPr>
          <w:ilvl w:val="1"/>
          <w:numId w:val="15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функциональности МСО. В рамках данной проверки осуществляется проверка возможности формирования отчетности.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85" w:name="Xebe1865dabf89d6a2d6c26a3e1117e7e3a07544"/>
      <w:bookmarkStart w:id="86" w:name="требования-к-испытаниям"/>
      <w:bookmarkStart w:id="87" w:name="Xebe1865dabf89d6a2d6c26a3e1117e7e3a07544"/>
      <w:bookmarkStart w:id="88" w:name="требования-к-испытаниям"/>
      <w:bookmarkEnd w:id="87"/>
      <w:bookmarkEnd w:id="88"/>
    </w:p>
    <w:p>
      <w:pPr>
        <w:pStyle w:val="Heading3"/>
        <w:rPr>
          <w:rFonts w:ascii="Times New Roman" w:hAnsi="Times New Roman"/>
          <w:color w:val="000000"/>
        </w:rPr>
      </w:pPr>
      <w:bookmarkStart w:id="89" w:name="Xf3d1c570c4446ac17f2a5ec45e86e1065f040dd"/>
      <w:bookmarkEnd w:id="89"/>
      <w:r>
        <w:rPr>
          <w:rFonts w:ascii="Times New Roman" w:hAnsi="Times New Roman"/>
          <w:b/>
          <w:bCs/>
          <w:color w:val="000000"/>
        </w:rPr>
        <w:t>Документы, оформляемые при приемке МСО в опытную эксплуатацию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Подрядчик представляет следующие документы:</w:t>
        <w:br/>
        <w:t>- эксплуатационная документация (сертификаты соответствия на основное оборудование, технические паспорта и формуляры основного оборудования, руководства администратора и пользователя и т.п.);</w:t>
        <w:br/>
        <w:t>- лицензии и сертификаты соответствия на специализированное программное обеспечение;</w:t>
        <w:br/>
        <w:t>- исполнительные чертежи, исполнительные схемы, паспорта заземляющих устройств, протоколы испытаний электротехнической лаборатории и другие документы, относящиеся к выполненным электромонтажным работам;</w:t>
        <w:br/>
        <w:t>- акты скрытых работ;</w:t>
        <w:br/>
        <w:t>- акт (акты) установки и ввода в эксплуатацию средств криптографической защиты информации;</w:t>
        <w:br/>
        <w:t>- протоколы испытаний технических средств оповещения местной системы оповещения населения Володарского муниципального округа Нижегородской области (Приложение №2 к настоящему Техническому заданию);</w:t>
        <w:br/>
        <w:t>- акт приемки местной системы оповещения населения Володарского муниципального округа Нижегородской области в опытную эксплуатацию (Приложение №3 к настоящему Техническому заданию).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90" w:name="Xf3d1c570c4446ac17f2a5ec45e86e1065f040dd"/>
      <w:bookmarkStart w:id="91" w:name="Xf3d1c570c4446ac17f2a5ec45e86e1065f040dd"/>
      <w:bookmarkEnd w:id="91"/>
    </w:p>
    <w:p>
      <w:pPr>
        <w:pStyle w:val="Heading3"/>
        <w:rPr>
          <w:rFonts w:ascii="Times New Roman" w:hAnsi="Times New Roman"/>
          <w:color w:val="000000"/>
        </w:rPr>
      </w:pPr>
      <w:bookmarkStart w:id="92" w:name="X5dab09875c2dc8cc902d004d3a2732471423a1f"/>
      <w:bookmarkEnd w:id="92"/>
      <w:r>
        <w:rPr>
          <w:rFonts w:ascii="Times New Roman" w:hAnsi="Times New Roman"/>
          <w:b/>
          <w:bCs/>
          <w:color w:val="000000"/>
        </w:rPr>
        <w:t>Документы, оформляемые при приемке МСО в эксплуатацию</w:t>
      </w:r>
    </w:p>
    <w:p>
      <w:pPr>
        <w:pStyle w:val="FirstParagraph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Подрядчик представляет следующие документы:</w:t>
        <w:br/>
        <w:t>- акты приема-передачи оборудования, эксплуатационной документации и др.;</w:t>
        <w:br/>
        <w:t>- акт приёмки выполненных работ по форме КС-2;</w:t>
        <w:br/>
        <w:t>- справка о стоимости выполненных работ по форме КС-3;</w:t>
        <w:br/>
        <w:t>- сертификаты соответствия на основное оборудование, технические паспорта и формуляры основного оборудования, руководства администратора и пользователя;</w:t>
        <w:br/>
        <w:t>- акт приемки местной системы оповещения населения Володарского муниципального округа Нижегородской области в эксплуатацию (Приложение №4 к настоящему Техническому заданию).</w:t>
      </w:r>
    </w:p>
    <w:p>
      <w:pPr>
        <w:pStyle w:val="BodyTex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Подрядчик по акту приема-передачи передает Заказчику сертификаты соответствия на основное оборудование, технические паспорта и формуляры основного оборудования, руководства администратора и пользователя, оптические диски с документацией и программным обеспечением.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93" w:name="X5dab09875c2dc8cc902d004d3a2732471423a1f"/>
      <w:bookmarkStart w:id="94" w:name="X5dab09875c2dc8cc902d004d3a2732471423a1f"/>
      <w:bookmarkEnd w:id="94"/>
    </w:p>
    <w:p>
      <w:pPr>
        <w:pStyle w:val="Heading3"/>
        <w:rPr>
          <w:rFonts w:ascii="Times New Roman" w:hAnsi="Times New Roman"/>
          <w:color w:val="000000"/>
        </w:rPr>
      </w:pPr>
      <w:bookmarkStart w:id="95" w:name="X925e1f5729aeb3acdd94fe28a282b15d70d5881"/>
      <w:bookmarkEnd w:id="95"/>
      <w:r>
        <w:rPr>
          <w:rFonts w:ascii="Times New Roman" w:hAnsi="Times New Roman"/>
          <w:b/>
          <w:bCs/>
          <w:color w:val="000000"/>
        </w:rPr>
        <w:t>Дополнительные требования по выполнению работ</w:t>
      </w:r>
    </w:p>
    <w:p>
      <w:pPr>
        <w:pStyle w:val="Compact"/>
        <w:numPr>
          <w:ilvl w:val="0"/>
          <w:numId w:val="154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настоящем Техническом задании могут быть дополнены и откорректированы отдельные положения и технические требования, выявленные в ходе проведения монтажных и пусконаладочных работ. Дополнения Технического задания проводятся по согласованию сторон и могут быть оформлены в виде дополнительных Протоколов совместных технических совещаний.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96" w:name="X925e1f5729aeb3acdd94fe28a282b15d70d5881"/>
      <w:bookmarkStart w:id="97" w:name="X925e1f5729aeb3acdd94fe28a282b15d70d5881"/>
      <w:bookmarkEnd w:id="97"/>
      <w:r>
        <w:br w:type="page"/>
      </w:r>
    </w:p>
    <w:p>
      <w:pPr>
        <w:pStyle w:val="Heading3"/>
        <w:jc w:val="right"/>
        <w:rPr>
          <w:rFonts w:ascii="Times New Roman" w:hAnsi="Times New Roman"/>
          <w:color w:val="000000"/>
        </w:rPr>
      </w:pPr>
      <w:bookmarkStart w:id="98" w:name="Xd3cc6252dec76eeae096e75faec4e29913753c9"/>
      <w:r>
        <w:rPr>
          <w:rFonts w:ascii="Times New Roman" w:hAnsi="Times New Roman"/>
          <w:b/>
          <w:bCs/>
          <w:color w:val="000000"/>
        </w:rPr>
        <w:t>Приложение №1 к Техническому заданию на построение МСО Володарского муниципального округа Нижегородской области</w:t>
      </w:r>
    </w:p>
    <w:p>
      <w:pPr>
        <w:pStyle w:val="Heading4"/>
        <w:jc w:val="center"/>
        <w:rPr>
          <w:rFonts w:ascii="Times New Roman" w:hAnsi="Times New Roman"/>
          <w:b/>
          <w:bCs/>
          <w:color w:val="000000"/>
        </w:rPr>
      </w:pPr>
      <w:bookmarkStart w:id="99" w:name="состав-поставляемого-оборудования"/>
      <w:r>
        <w:rPr>
          <w:rFonts w:ascii="Times New Roman" w:hAnsi="Times New Roman"/>
          <w:b/>
          <w:bCs/>
          <w:color w:val="000000"/>
        </w:rPr>
        <w:t>Состав п</w:t>
      </w:r>
      <w:r>
        <w:rPr>
          <w:rFonts w:ascii="Times New Roman" w:hAnsi="Times New Roman"/>
          <w:b/>
          <w:bCs/>
          <w:color w:val="000000"/>
        </w:rPr>
        <w:t>редоставляемого</w:t>
      </w:r>
      <w:r>
        <w:rPr>
          <w:rFonts w:ascii="Times New Roman" w:hAnsi="Times New Roman"/>
          <w:b/>
          <w:bCs/>
          <w:color w:val="000000"/>
        </w:rPr>
        <w:t xml:space="preserve"> оборудования</w:t>
      </w:r>
    </w:p>
    <w:p>
      <w:pPr>
        <w:pStyle w:val="BodyTex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652"/>
        <w:gridCol w:w="3047"/>
        <w:gridCol w:w="3919"/>
        <w:gridCol w:w="1741"/>
      </w:tblGrid>
      <w:tr>
        <w:trPr>
          <w:tblHeader w:val="true"/>
        </w:trPr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Наименование</w:t>
            </w:r>
          </w:p>
        </w:tc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Единица измерения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Кол-во</w:t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П-166М СЗО-3, АЕСФ.468354.015 ТУ, Ethernet, для помещений, мощностью 600 ВТ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шт.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Громкоговоритель рупорный 100ГР-5, 100 Вт</w:t>
            </w:r>
          </w:p>
        </w:tc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шт.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12</w:t>
            </w:r>
          </w:p>
        </w:tc>
      </w:tr>
    </w:tbl>
    <w:p>
      <w:pPr>
        <w:pStyle w:val="Normal"/>
        <w:rPr>
          <w:rFonts w:ascii="Times New Roman" w:hAnsi="Times New Roman"/>
          <w:color w:val="000000"/>
        </w:rPr>
      </w:pPr>
      <w:bookmarkStart w:id="100" w:name="Xd3cc6252dec76eeae096e75faec4e29913753c9"/>
      <w:bookmarkStart w:id="101" w:name="состав-поставляемого-оборудования"/>
      <w:r>
        <w:rPr>
          <w:rFonts w:ascii="Times New Roman" w:hAnsi="Times New Roman"/>
          <w:color w:val="000000"/>
        </w:rPr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0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00"/>
      <w:bookmarkEnd w:id="101"/>
    </w:p>
    <w:p>
      <w:pPr>
        <w:pStyle w:val="Heading3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br w:type="page"/>
      </w:r>
    </w:p>
    <w:p>
      <w:pPr>
        <w:pStyle w:val="Heading3"/>
        <w:jc w:val="right"/>
        <w:rPr>
          <w:rFonts w:ascii="Times New Roman" w:hAnsi="Times New Roman"/>
          <w:b/>
          <w:bCs/>
          <w:color w:val="000000"/>
        </w:rPr>
      </w:pPr>
      <w:bookmarkStart w:id="102" w:name="X2065ac4c102663aeb735944e50a1e39c8ccdc7a"/>
      <w:r>
        <w:rPr>
          <w:rFonts w:ascii="Times New Roman" w:hAnsi="Times New Roman"/>
          <w:b/>
          <w:bCs/>
          <w:color w:val="000000"/>
        </w:rPr>
        <w:t>Приложение №2 к Техническому заданию на построение МСО Володарского муниципального округа Нижегородской области</w:t>
      </w:r>
    </w:p>
    <w:p>
      <w:pPr>
        <w:pStyle w:val="Heading4"/>
        <w:jc w:val="center"/>
        <w:rPr>
          <w:rFonts w:ascii="Times New Roman" w:hAnsi="Times New Roman"/>
          <w:b/>
          <w:bCs/>
          <w:color w:val="000000"/>
        </w:rPr>
      </w:pPr>
      <w:bookmarkStart w:id="103" w:name="X7570923442745f909452f190d10c69a87788e29"/>
      <w:r>
        <w:rPr>
          <w:rFonts w:ascii="Times New Roman" w:hAnsi="Times New Roman"/>
          <w:b/>
          <w:bCs/>
          <w:color w:val="000000"/>
        </w:rPr>
        <w:t>Календарный план выполнения работ по построению МСО</w:t>
      </w:r>
    </w:p>
    <w:p>
      <w:pPr>
        <w:pStyle w:val="BodyTex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909"/>
        <w:gridCol w:w="3770"/>
        <w:gridCol w:w="3120"/>
        <w:gridCol w:w="1560"/>
      </w:tblGrid>
      <w:tr>
        <w:trPr>
          <w:tblHeader w:val="true"/>
        </w:trPr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Перечень выполняемых работ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Сроки выполнения работ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Примечание</w:t>
            </w:r>
          </w:p>
        </w:tc>
      </w:tr>
      <w:tr>
        <w:trPr/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Предоставление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технических и программных средств для МСО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120 календарных дней с даты заключения 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Договора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Проведение монтажных и пусконаладочных работ МСО. Тестирование развернутой МСО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30 календарных дней с даты 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предоставления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технических и программных средств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Проведение приемочных испытаний МСО (приемка в опытную эксплуатацию объектов МСО)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до 7 календарных дней по окончанию тестирования развернутой МСО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Дата проведения (по согласованию)</w:t>
            </w:r>
          </w:p>
        </w:tc>
      </w:tr>
      <w:tr>
        <w:trPr/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Опытная эксплуатация МСО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до 10 календарных дней с даты проведения приемочных испытаний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Срок (по согласованию)</w:t>
            </w:r>
          </w:p>
        </w:tc>
      </w:tr>
      <w:tr>
        <w:trPr/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37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Проведение приемочных испытаний МСО (приемка в эксплуатацию объектов МСО)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до 20 календарных дней по окончанию опытной эксплуатации МСО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Дата проведения (по согласованию)</w:t>
            </w:r>
          </w:p>
        </w:tc>
      </w:tr>
    </w:tbl>
    <w:p>
      <w:pPr>
        <w:pStyle w:val="Normal"/>
        <w:rPr>
          <w:rFonts w:ascii="Times New Roman" w:hAnsi="Times New Roman"/>
          <w:color w:val="000000"/>
        </w:rPr>
      </w:pPr>
      <w:bookmarkStart w:id="104" w:name="X2065ac4c102663aeb735944e50a1e39c8ccdc7a"/>
      <w:bookmarkStart w:id="105" w:name="X7570923442745f909452f190d10c69a87788e29"/>
      <w:r>
        <w:rPr>
          <w:rFonts w:ascii="Times New Roman" w:hAnsi="Times New Roman"/>
          <w:color w:val="000000"/>
        </w:rPr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0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04"/>
      <w:bookmarkEnd w:id="105"/>
    </w:p>
    <w:p>
      <w:pPr>
        <w:pStyle w:val="Heading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br w:type="page"/>
      </w:r>
    </w:p>
    <w:p>
      <w:pPr>
        <w:pStyle w:val="Heading3"/>
        <w:jc w:val="right"/>
        <w:rPr>
          <w:rFonts w:ascii="Times New Roman" w:hAnsi="Times New Roman"/>
          <w:b/>
          <w:bCs/>
          <w:color w:val="000000"/>
        </w:rPr>
      </w:pPr>
      <w:bookmarkStart w:id="106" w:name="X0381ca408d1d5898765816ced25933741ef52ab"/>
      <w:bookmarkEnd w:id="106"/>
      <w:r>
        <w:rPr>
          <w:rFonts w:ascii="Times New Roman" w:hAnsi="Times New Roman"/>
          <w:b/>
          <w:bCs/>
          <w:color w:val="000000"/>
        </w:rPr>
        <w:t>Приложение №3 к Техническому заданию на построение МСО Володарского муниципального округа Нижегородской области</w:t>
      </w:r>
    </w:p>
    <w:p>
      <w:pPr>
        <w:pStyle w:val="Heading4"/>
        <w:jc w:val="right"/>
        <w:rPr>
          <w:rFonts w:ascii="Times New Roman" w:hAnsi="Times New Roman"/>
          <w:color w:val="000000"/>
        </w:rPr>
      </w:pPr>
      <w:bookmarkStart w:id="107" w:name="форма"/>
      <w:bookmarkEnd w:id="107"/>
      <w:r>
        <w:rPr>
          <w:rFonts w:ascii="Times New Roman" w:hAnsi="Times New Roman"/>
          <w:b/>
          <w:bCs/>
          <w:color w:val="000000"/>
        </w:rPr>
        <w:t>Форма</w:t>
      </w:r>
    </w:p>
    <w:p>
      <w:pPr>
        <w:pStyle w:val="FirstParagraph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Протокол №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испытаний технических средств оповещения местной системы оповещения населения Володарского муниципального округа Нижегородской области</w:t>
      </w:r>
      <w:r>
        <w:rPr>
          <w:rFonts w:ascii="Times New Roman" w:hAnsi="Times New Roman"/>
          <w:color w:val="000000"/>
        </w:rPr>
        <w:br/>
        <w:t>г. Володарск « » 2026 г.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Комиссия в составе:</w:t>
      </w:r>
      <w:r>
        <w:rPr>
          <w:rFonts w:ascii="Times New Roman" w:hAnsi="Times New Roman"/>
          <w:color w:val="000000"/>
        </w:rPr>
        <w:br/>
        <w:t>- председатель:</w:t>
        <w:br/>
        <w:t>- заместитель председателя комиссии:</w:t>
        <w:br/>
        <w:t>- члены комиссии: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 рамках проведения приемочных испытаний МСО (3 этап) провела проверку технического состояния технических средств оповещения (далее – ТСО) МСО.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Объект испытаний:</w:t>
      </w:r>
      <w:r>
        <w:rPr>
          <w:rFonts w:ascii="Times New Roman" w:hAnsi="Times New Roman"/>
          <w:color w:val="000000"/>
        </w:rPr>
        <w:br/>
        <w:t>- Цель испытаний: проверка соответствия номенклатуры, комплектности ТСО проектно-сметной документации (далее - ПСД) и техническому заданию (далее - ТЗ), проверка наличия эксплуатационной документации, проверка работоспособности и функциональности ТСО.</w:t>
        <w:br/>
        <w:t>- Порядок проведения испытаний: в соответствии с Программой и методикой испытаний МСО (далее - ПМИ).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 объекте испытаний установлено оборудование, предусмотренное проектом: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559"/>
        <w:gridCol w:w="2160"/>
        <w:gridCol w:w="800"/>
        <w:gridCol w:w="639"/>
        <w:gridCol w:w="1201"/>
        <w:gridCol w:w="1840"/>
        <w:gridCol w:w="1120"/>
        <w:gridCol w:w="1040"/>
      </w:tblGrid>
      <w:tr>
        <w:trPr>
          <w:tblHeader w:val="true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Наименование оборудования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Ед. изм.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Кол-во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Пункт методики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Соответствие ПСД и ТЗ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Дата выпуска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Заводской №</w:t>
            </w:r>
          </w:p>
        </w:tc>
      </w:tr>
      <w:tr>
        <w:trPr/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8.1.1.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8.1.1.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8.1.1.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Показания счетчика электроэнергии (по состоянию на « » 2026 г.) -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Вывод по п. 4:</w:t>
      </w:r>
      <w:r>
        <w:rPr>
          <w:rFonts w:ascii="Times New Roman" w:hAnsi="Times New Roman"/>
          <w:color w:val="000000"/>
        </w:rPr>
        <w:br/>
        <w:t>- установленное оборудование соответствует ПСД и ТЗ (либо не соответствует, указать причины несоответствия);</w:t>
        <w:br/>
        <w:t>- строительно-монтажные работы выполнены в соответствии с ПСД (либо не соответствуют, указать причины несоответствия);</w:t>
        <w:br/>
        <w:t>- пусконаладочные работы выполнены в соответствии с ПСД (либо не соответствуют, указать причины несоответствия).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Наличие необходимой эксплуатационной документации, соответствие ГОСТ Р 2.610-2019 и ТЗ.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Вывод по п. 5:</w:t>
      </w:r>
      <w:r>
        <w:rPr>
          <w:rFonts w:ascii="Times New Roman" w:hAnsi="Times New Roman"/>
          <w:color w:val="000000"/>
        </w:rPr>
        <w:br/>
        <w:t>- эксплуатационная документация предоставлена в необходимом объеме и соответствует ГОСТ Р 2.610-2019 и ТЗ (либо указать причины несоответствия).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Требования к функциональным, техническим, качественным характеристикам установленного оборудования оповещения.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661"/>
        <w:gridCol w:w="5106"/>
        <w:gridCol w:w="1418"/>
        <w:gridCol w:w="2174"/>
      </w:tblGrid>
      <w:tr>
        <w:trPr>
          <w:tblHeader w:val="true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5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Наименование оборудования / 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Пункт методики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Соответствие ПСД и ТЗ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Устройство запуска, управления и мониторинга средств звукового, речевого и индивидуального оповещения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8.2.3, 8.2.4, 8.2.5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1.1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Запуск оконечных средств звукового, речевого оповещения для передачи сигналов и информации оповещения населению (в том числе в режиме «Тихий тест»)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8.2.3, 8.2.4, 8.2.5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Мониторинг состояния цифровых каналов/сетей связи, по которым осуществляется обмен сигналами оповещения, а также фидерных линий к громкоговорителям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8.2.6, 8.2.7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1.3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Проверка работоспособности (мониторинга) системы оповещения, оконечных средств оповещения населения, в том числе без их реального запуска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8.2.6, 8.2.7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Оконечное средство оповещения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8.2.3, 8.2.4, 8.2.5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2.1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Передача звучания сирен в режиме изменяющейся тональности, в соответствии с ГОСТ Р 42.3.01-2021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8.2.3, 8.2.4, 8.2.5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2.2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Передача речевого сообщения, разборчивость речи оконечных средств оповещения должна соответствовать ГОСТ 16600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8.2.3, 8.2.4, 8.2.5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2.3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Защита от несанкционированного доступа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8.1.1, 8.1.2, 8.1.3, 8.2.6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Электропитание: от существующих источников промышленного электропитания; от источников бесперебойного питания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8.2.7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Защита от короткого замыкания выхода УНЧ (усилителя низкой частоты)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8.2.1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5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Молниезащита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8.2.1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да/нет</w:t>
            </w:r>
          </w:p>
        </w:tc>
      </w:tr>
    </w:tbl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Оценка звучания сирены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2581"/>
        <w:gridCol w:w="6778"/>
      </w:tblGrid>
      <w:tr>
        <w:trPr>
          <w:tblHeader w:val="true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Характеристика</w:t>
            </w:r>
          </w:p>
        </w:tc>
        <w:tc>
          <w:tcPr>
            <w:tcW w:w="6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Расстояние от источника излучения (среднее по объекту испытаний), м</w:t>
            </w:r>
          </w:p>
        </w:tc>
      </w:tr>
      <w:tr>
        <w:trPr/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Сирена услышна без затруднений</w:t>
            </w:r>
          </w:p>
        </w:tc>
        <w:tc>
          <w:tcPr>
            <w:tcW w:w="6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Сирена услышна с напряжением внимания</w:t>
            </w:r>
          </w:p>
        </w:tc>
        <w:tc>
          <w:tcPr>
            <w:tcW w:w="6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Сирена услышна с большим напряжением внимания</w:t>
            </w:r>
          </w:p>
        </w:tc>
        <w:tc>
          <w:tcPr>
            <w:tcW w:w="6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Сирена не слышна</w:t>
            </w:r>
          </w:p>
        </w:tc>
        <w:tc>
          <w:tcPr>
            <w:tcW w:w="6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Оценка разборчивости речи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313"/>
        <w:gridCol w:w="2628"/>
        <w:gridCol w:w="1970"/>
        <w:gridCol w:w="3448"/>
      </w:tblGrid>
      <w:tr>
        <w:trPr>
          <w:tblHeader w:val="true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Класс качества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Характеристика класса качества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Нормы разборчивости, %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Расстояние от источника излучения (среднее по объекту испытаний), м</w:t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Понимание передаваемой речи без затруднений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92-95</w:t>
            </w:r>
          </w:p>
        </w:tc>
        <w:tc>
          <w:tcPr>
            <w:tcW w:w="3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III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Понимание передаваемой речи с напряжением внимания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87-92</w:t>
            </w:r>
          </w:p>
        </w:tc>
        <w:tc>
          <w:tcPr>
            <w:tcW w:w="3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Понимание передаваемой речи с большим напряжением внимания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62-87</w:t>
            </w:r>
          </w:p>
        </w:tc>
        <w:tc>
          <w:tcPr>
            <w:tcW w:w="3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V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Полная неразборчивость связного текста</w:t>
            </w:r>
          </w:p>
        </w:tc>
        <w:tc>
          <w:tcPr>
            <w:tcW w:w="1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До 62</w:t>
            </w:r>
          </w:p>
        </w:tc>
        <w:tc>
          <w:tcPr>
            <w:tcW w:w="34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mpact"/>
              <w:widowControl/>
              <w:spacing w:before="36" w:after="36"/>
              <w:jc w:val="left"/>
              <w:rPr>
                <w:rFonts w:ascii="Times New Roman" w:hAnsi="Times New Roman" w:eastAsia="Cambria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Вывод по п. 6:</w:t>
      </w:r>
      <w:r>
        <w:rPr>
          <w:rFonts w:ascii="Times New Roman" w:hAnsi="Times New Roman"/>
          <w:color w:val="000000"/>
        </w:rPr>
        <w:br/>
        <w:t>- функциональные, технические, качественные характеристики установленного оборудования оповещения соответствуют ПСД и ТЗ (либо не соответствуют, указать причины несоответствия).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Материально-техническое обеспечение испытаний: в соответствии с ПМИ МСО.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Метеоусловия:</w:t>
      </w:r>
      <w:r>
        <w:rPr>
          <w:rFonts w:ascii="Times New Roman" w:hAnsi="Times New Roman"/>
          <w:color w:val="000000"/>
        </w:rPr>
        <w:br/>
        <w:t>- температура воздуха °C</w:t>
        <w:br/>
        <w:t>- относительная влажность %</w:t>
        <w:br/>
        <w:t>- атмосферное давление мм.рт.ст.</w:t>
        <w:br/>
        <w:t>- ветер м/с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Вывод:</w:t>
      </w:r>
      <w:r>
        <w:rPr>
          <w:rFonts w:ascii="Times New Roman" w:hAnsi="Times New Roman"/>
          <w:color w:val="000000"/>
        </w:rPr>
        <w:br/>
        <w:t>- Предъявленные к испытаниям ТСО пункта сиренно-речевого оповещения МСО, расположенного по адресу: ________________, в основном, отвечают нормативным правовым актам, санитарным, экологическим, пожарным, строительным нормам и правилам.</w:t>
        <w:br/>
        <w:t>- Оборудование пункта сиренно-речевого оповещения МСО, расположенного по адресу: ________________, может быть рекомендовано к приему в опытную эксплуатацию.</w:t>
        <w:br/>
        <w:t>- Устранение недостатков, указанных выше, провести в процессе опытной эксплуатации.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Председатель комиссии: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Члены комиссии: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bookmarkStart w:id="108" w:name="X0381ca408d1d5898765816ced25933741ef52ab"/>
      <w:bookmarkStart w:id="109" w:name="форма"/>
      <w:bookmarkStart w:id="110" w:name="X0381ca408d1d5898765816ced25933741ef52ab"/>
      <w:bookmarkStart w:id="111" w:name="форма"/>
      <w:bookmarkEnd w:id="110"/>
      <w:bookmarkEnd w:id="111"/>
      <w:r>
        <w:br w:type="page"/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Heading3"/>
        <w:jc w:val="right"/>
        <w:rPr>
          <w:rFonts w:ascii="Times New Roman" w:hAnsi="Times New Roman"/>
          <w:color w:val="000000"/>
        </w:rPr>
      </w:pPr>
      <w:bookmarkStart w:id="112" w:name="Xc12b8554088c5e4f0b5fa83fda7d26b199e4672"/>
      <w:r>
        <w:rPr>
          <w:rFonts w:ascii="Times New Roman" w:hAnsi="Times New Roman"/>
          <w:b/>
          <w:bCs/>
          <w:color w:val="000000"/>
        </w:rPr>
        <w:t>Приложение №4 к Техническому заданию на построение МСО Володарского муниципального округа Нижегородской области</w:t>
      </w:r>
    </w:p>
    <w:p>
      <w:pPr>
        <w:pStyle w:val="Heading4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Heading4"/>
        <w:jc w:val="righ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Heading4"/>
        <w:jc w:val="right"/>
        <w:rPr>
          <w:rFonts w:ascii="Times New Roman" w:hAnsi="Times New Roman"/>
          <w:b/>
          <w:bCs/>
          <w:color w:val="000000"/>
        </w:rPr>
      </w:pPr>
      <w:bookmarkStart w:id="113" w:name="формы"/>
      <w:r>
        <w:rPr>
          <w:rFonts w:ascii="Times New Roman" w:hAnsi="Times New Roman"/>
          <w:b/>
          <w:bCs/>
          <w:color w:val="000000"/>
        </w:rPr>
        <w:t>Формы</w:t>
      </w:r>
    </w:p>
    <w:p>
      <w:pPr>
        <w:pStyle w:val="FirstParagraph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Акт приемки местной системы оповещения населения Володарского муниципального округа Нижегородской области в опытную эксплуатацию (3 этап)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Володарск « » 2026 г.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Комиссия в составе:</w:t>
      </w:r>
      <w:r>
        <w:rPr>
          <w:rFonts w:ascii="Times New Roman" w:hAnsi="Times New Roman"/>
          <w:color w:val="000000"/>
        </w:rPr>
        <w:br/>
        <w:t>- председатель:</w:t>
        <w:br/>
        <w:t>- заместитель председателя комиссии:</w:t>
        <w:br/>
        <w:t>- члены комиссии: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составила и подписала настоящий акт о нижеследующем:</w:t>
      </w:r>
    </w:p>
    <w:p>
      <w:pPr>
        <w:pStyle w:val="Compact"/>
        <w:numPr>
          <w:ilvl w:val="0"/>
          <w:numId w:val="15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Признать результаты испытаний МСО по объекту:</w:t>
      </w:r>
    </w:p>
    <w:p>
      <w:pPr>
        <w:pStyle w:val="Compact"/>
        <w:numPr>
          <w:ilvl w:val="1"/>
          <w:numId w:val="156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ТСО пункта сиренно-речевого оповещения МСО, расположенного по адресу: ____________________________;</w:t>
      </w:r>
    </w:p>
    <w:p>
      <w:pPr>
        <w:pStyle w:val="Compact"/>
        <w:numPr>
          <w:ilvl w:val="0"/>
          <w:numId w:val="157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Считать возможным принять МСО (3 этап) в опытную эксплуатацию. Работы по построению МСО были выполнены в соответствии с Проектно-сметной документацией и Техническим заданием (Приложение №1 к Муниципальному </w:t>
      </w:r>
      <w:r>
        <w:rPr>
          <w:rFonts w:ascii="Times New Roman" w:hAnsi="Times New Roman"/>
          <w:color w:val="000000"/>
        </w:rPr>
        <w:t>Договору</w:t>
      </w:r>
      <w:r>
        <w:rPr>
          <w:rFonts w:ascii="Times New Roman" w:hAnsi="Times New Roman"/>
          <w:color w:val="000000"/>
        </w:rPr>
        <w:t xml:space="preserve"> от 2026 г.).</w:t>
      </w:r>
    </w:p>
    <w:p>
      <w:pPr>
        <w:pStyle w:val="Compact"/>
        <w:numPr>
          <w:ilvl w:val="0"/>
          <w:numId w:val="158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Предусмотренная </w:t>
      </w:r>
      <w:r>
        <w:rPr>
          <w:rFonts w:ascii="Times New Roman" w:hAnsi="Times New Roman"/>
          <w:color w:val="000000"/>
        </w:rPr>
        <w:t>Договором</w:t>
      </w:r>
      <w:r>
        <w:rPr>
          <w:rFonts w:ascii="Times New Roman" w:hAnsi="Times New Roman"/>
          <w:color w:val="000000"/>
        </w:rPr>
        <w:t xml:space="preserve"> и Техническим заданием документация на МСО передана в полном объеме.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Настоящий Акт составлен в двух экземплярах, обладающих равной юридической силой, по одному для Заказчика и Подрядчика.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Приложения:</w:t>
      </w:r>
      <w:r>
        <w:rPr>
          <w:rFonts w:ascii="Times New Roman" w:hAnsi="Times New Roman"/>
          <w:color w:val="000000"/>
        </w:rPr>
        <w:br/>
        <w:t>- Программа и методика испытаний МСО.</w:t>
        <w:br/>
        <w:t>- Протоколы испытаний технических средств оповещения МСО – ед.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Акт приемки местной системы оповещения населения Володарского муниципального округа Нижегородской области в эксплуатацию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Володарск « » 2026 г.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Комиссия в составе:</w:t>
      </w:r>
      <w:r>
        <w:rPr>
          <w:rFonts w:ascii="Times New Roman" w:hAnsi="Times New Roman"/>
          <w:color w:val="000000"/>
        </w:rPr>
        <w:br/>
        <w:t>- председатель:</w:t>
        <w:br/>
        <w:t>- заместитель председателя комиссии:</w:t>
        <w:br/>
        <w:t>- члены комиссии: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составила и подписала настоящий акт о нижеследующем:</w:t>
      </w:r>
    </w:p>
    <w:p>
      <w:pPr>
        <w:pStyle w:val="Compact"/>
        <w:numPr>
          <w:ilvl w:val="0"/>
          <w:numId w:val="159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Признать результаты испытаний МСО в составе объектов:</w:t>
      </w:r>
    </w:p>
    <w:p>
      <w:pPr>
        <w:pStyle w:val="Compact"/>
        <w:numPr>
          <w:ilvl w:val="1"/>
          <w:numId w:val="160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ТСО пункта сиренно-речевого оповещения МСО, расположенного по адресу: ____________________________;</w:t>
      </w:r>
    </w:p>
    <w:p>
      <w:pPr>
        <w:pStyle w:val="Compact"/>
        <w:numPr>
          <w:ilvl w:val="0"/>
          <w:numId w:val="16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Недостатки, выявленные при приемке в опытную эксплуатацию и в процессе опытной эксплуатации, устранены.</w:t>
      </w:r>
    </w:p>
    <w:p>
      <w:pPr>
        <w:pStyle w:val="Compact"/>
        <w:numPr>
          <w:ilvl w:val="0"/>
          <w:numId w:val="16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Считать возможным принять МСО в эксплуатацию. Работы по построению МСО были выполнены в соответствии с Проектно-сметной документацией и Техническим заданием (Приложение №1 к </w:t>
      </w:r>
      <w:r>
        <w:rPr>
          <w:rFonts w:ascii="Times New Roman" w:hAnsi="Times New Roman"/>
          <w:color w:val="000000"/>
        </w:rPr>
        <w:t>Договору</w:t>
      </w:r>
      <w:r>
        <w:rPr>
          <w:rFonts w:ascii="Times New Roman" w:hAnsi="Times New Roman"/>
          <w:color w:val="000000"/>
        </w:rPr>
        <w:t xml:space="preserve"> от 2026 г.).</w:t>
      </w:r>
    </w:p>
    <w:p>
      <w:pPr>
        <w:pStyle w:val="Compact"/>
        <w:numPr>
          <w:ilvl w:val="0"/>
          <w:numId w:val="163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Предусмотренная </w:t>
      </w:r>
      <w:r>
        <w:rPr>
          <w:rFonts w:ascii="Times New Roman" w:hAnsi="Times New Roman"/>
          <w:color w:val="000000"/>
        </w:rPr>
        <w:t>Договором</w:t>
      </w:r>
      <w:r>
        <w:rPr>
          <w:rFonts w:ascii="Times New Roman" w:hAnsi="Times New Roman"/>
          <w:color w:val="000000"/>
        </w:rPr>
        <w:t xml:space="preserve"> и Техническим заданием документация на МСО передана в полном объеме.</w:t>
      </w:r>
    </w:p>
    <w:p>
      <w:pPr>
        <w:pStyle w:val="FirstParagrap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Настоящий Акт составлен в двух экземплярах, обладающих равной юридической силой, по одному для Заказчика и Подрядчика.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Приложения:</w:t>
      </w:r>
      <w:r>
        <w:rPr>
          <w:rFonts w:ascii="Times New Roman" w:hAnsi="Times New Roman"/>
          <w:color w:val="000000"/>
        </w:rPr>
        <w:br/>
        <w:t>1. Документы, подтверждающие выполнение мероприятий по устранению недостатков, выявленных при приемке в опытную эксплуатацию и в процессе опытной эксплуатации.</w:t>
      </w:r>
    </w:p>
    <w:p>
      <w:pPr>
        <w:pStyle w:val="BodyText"/>
        <w:spacing w:before="180"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Председатель комиссии: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Члены комиссии:</w:t>
      </w:r>
      <w:bookmarkEnd w:id="112"/>
      <w:bookmarkEnd w:id="113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6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7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8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9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0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5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 w:numId="87">
    <w:abstractNumId w:val="1"/>
  </w:num>
  <w:num w:numId="88">
    <w:abstractNumId w:val="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1"/>
  </w:num>
  <w:num w:numId="94">
    <w:abstractNumId w:val="1"/>
  </w:num>
  <w:num w:numId="95">
    <w:abstractNumId w:val="1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  <w:num w:numId="101">
    <w:abstractNumId w:val="1"/>
  </w:num>
  <w:num w:numId="102">
    <w:abstractNumId w:val="1"/>
  </w:num>
  <w:num w:numId="103">
    <w:abstractNumId w:val="1"/>
  </w:num>
  <w:num w:numId="104">
    <w:abstractNumId w:val="1"/>
  </w:num>
  <w:num w:numId="105">
    <w:abstractNumId w:val="1"/>
  </w:num>
  <w:num w:numId="106">
    <w:abstractNumId w:val="1"/>
  </w:num>
  <w:num w:numId="107">
    <w:abstractNumId w:val="1"/>
  </w:num>
  <w:num w:numId="108">
    <w:abstractNumId w:val="1"/>
  </w:num>
  <w:num w:numId="109">
    <w:abstractNumId w:val="1"/>
  </w:num>
  <w:num w:numId="110">
    <w:abstractNumId w:val="1"/>
  </w:num>
  <w:num w:numId="111">
    <w:abstractNumId w:val="1"/>
  </w:num>
  <w:num w:numId="112">
    <w:abstractNumId w:val="1"/>
  </w:num>
  <w:num w:numId="113">
    <w:abstractNumId w:val="1"/>
  </w:num>
  <w:num w:numId="114">
    <w:abstractNumId w:val="1"/>
  </w:num>
  <w:num w:numId="115">
    <w:abstractNumId w:val="1"/>
  </w:num>
  <w:num w:numId="116">
    <w:abstractNumId w:val="1"/>
  </w:num>
  <w:num w:numId="117">
    <w:abstractNumId w:val="1"/>
  </w:num>
  <w:num w:numId="118">
    <w:abstractNumId w:val="1"/>
  </w:num>
  <w:num w:numId="119">
    <w:abstractNumId w:val="1"/>
  </w:num>
  <w:num w:numId="120">
    <w:abstractNumId w:val="1"/>
  </w:num>
  <w:num w:numId="121">
    <w:abstractNumId w:val="1"/>
  </w:num>
  <w:num w:numId="122">
    <w:abstractNumId w:val="1"/>
  </w:num>
  <w:num w:numId="123">
    <w:abstractNumId w:val="1"/>
  </w:num>
  <w:num w:numId="124">
    <w:abstractNumId w:val="1"/>
  </w:num>
  <w:num w:numId="125">
    <w:abstractNumId w:val="1"/>
  </w:num>
  <w:num w:numId="126">
    <w:abstractNumId w:val="1"/>
  </w:num>
  <w:num w:numId="127">
    <w:abstractNumId w:val="1"/>
  </w:num>
  <w:num w:numId="128">
    <w:abstractNumId w:val="1"/>
  </w:num>
  <w:num w:numId="129">
    <w:abstractNumId w:val="1"/>
  </w:num>
  <w:num w:numId="130">
    <w:abstractNumId w:val="1"/>
  </w:num>
  <w:num w:numId="131">
    <w:abstractNumId w:val="1"/>
  </w:num>
  <w:num w:numId="132">
    <w:abstractNumId w:val="1"/>
  </w:num>
  <w:num w:numId="133">
    <w:abstractNumId w:val="1"/>
  </w:num>
  <w:num w:numId="134">
    <w:abstractNumId w:val="1"/>
  </w:num>
  <w:num w:numId="135">
    <w:abstractNumId w:val="1"/>
  </w:num>
  <w:num w:numId="136">
    <w:abstractNumId w:val="1"/>
  </w:num>
  <w:num w:numId="137">
    <w:abstractNumId w:val="1"/>
  </w:num>
  <w:num w:numId="138">
    <w:abstractNumId w:val="1"/>
  </w:num>
  <w:num w:numId="139">
    <w:abstractNumId w:val="1"/>
  </w:num>
  <w:num w:numId="140">
    <w:abstractNumId w:val="1"/>
  </w:num>
  <w:num w:numId="141">
    <w:abstractNumId w:val="1"/>
  </w:num>
  <w:num w:numId="142">
    <w:abstractNumId w:val="1"/>
  </w:num>
  <w:num w:numId="143">
    <w:abstractNumId w:val="1"/>
  </w:num>
  <w:num w:numId="144">
    <w:abstractNumId w:val="1"/>
  </w:num>
  <w:num w:numId="145">
    <w:abstractNumId w:val="1"/>
  </w:num>
  <w:num w:numId="146">
    <w:abstractNumId w:val="1"/>
  </w:num>
  <w:num w:numId="147">
    <w:abstractNumId w:val="1"/>
  </w:num>
  <w:num w:numId="148">
    <w:abstractNumId w:val="1"/>
  </w:num>
  <w:num w:numId="149">
    <w:abstractNumId w:val="1"/>
  </w:num>
  <w:num w:numId="150">
    <w:abstractNumId w:val="1"/>
  </w:num>
  <w:num w:numId="151">
    <w:abstractNumId w:val="1"/>
  </w:num>
  <w:num w:numId="152">
    <w:abstractNumId w:val="1"/>
  </w:num>
  <w:num w:numId="153">
    <w:abstractNumId w:val="1"/>
  </w:num>
  <w:num w:numId="154">
    <w:abstractNumId w:val="1"/>
  </w:num>
  <w:num w:numId="155">
    <w:abstractNumId w:val="1"/>
  </w:num>
  <w:num w:numId="156">
    <w:abstractNumId w:val="1"/>
  </w:num>
  <w:num w:numId="157">
    <w:abstractNumId w:val="1"/>
  </w:num>
  <w:num w:numId="158">
    <w:abstractNumId w:val="1"/>
  </w:num>
  <w:num w:numId="159">
    <w:abstractNumId w:val="1"/>
  </w:num>
  <w:num w:numId="160">
    <w:abstractNumId w:val="1"/>
  </w:num>
  <w:num w:numId="161">
    <w:abstractNumId w:val="1"/>
  </w:num>
  <w:num w:numId="162">
    <w:abstractNumId w:val="1"/>
  </w:num>
  <w:num w:numId="163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themeColor="accent1" w:val="4F81BD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Style5">
    <w:name w:val="Символ сноски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Style7">
    <w:name w:val="Указатель"/>
    <w:basedOn w:val="Normal"/>
    <w:qFormat/>
    <w:pPr>
      <w:suppressLineNumbers/>
    </w:pPr>
    <w:rPr>
      <w:rFonts w:cs="Noto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Style8" w:customStyle="1">
    <w:name w:val="Фигура"/>
    <w:basedOn w:val="Normal"/>
    <w:qFormat/>
    <w:pPr/>
    <w:rPr/>
  </w:style>
  <w:style w:type="paragraph" w:styleId="CaptionedFigure" w:customStyle="1">
    <w:name w:val="Captioned Figure"/>
    <w:basedOn w:val="Style8"/>
    <w:qFormat/>
    <w:pPr>
      <w:keepNext w:val="true"/>
    </w:pPr>
    <w:rPr/>
  </w:style>
  <w:style w:type="paragraph" w:styleId="IndexHeading">
    <w:name w:val="index heading"/>
    <w:basedOn w:val="Style6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rt.ru/pbl/63ea6c88-75f2-11f1-b11a-b026285a8d4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LibreOffice/25.8.0.4$Linux_X86_64 LibreOffice_project/48f00303701489684e67c38c28aff00cd5929e67</Application>
  <AppVersion>15.0000</AppVersion>
  <Pages>27</Pages>
  <Words>6645</Words>
  <Characters>47917</Characters>
  <CharactersWithSpaces>54049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2026-07-02T07:49:38Z</dcterms:created>
  <dc:creator/>
  <dc:description/>
  <dc:language>ru-RU</dc:language>
  <cp:lastModifiedBy/>
  <dcterms:modified xsi:type="dcterms:W3CDTF">2026-07-02T11:51:44Z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