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spacing w:before="5400" w:after="240"/>
        <w:jc w:val="center"/>
        <w:rPr>
          <w:rFonts w:eastAsia="Calibri"/>
          <w:b/>
          <w:b/>
          <w:caps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Технические требования на оказание услуг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 w:val="false"/>
          <w:i w:val="false"/>
          <w:caps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КПД2 62.09.20 Консультационные и аналогичные услуги в области информационных технологий по администрированию СК-11 для ЦУС филиала  АО "ДРСК" "Приморские электрические сети"</w:t>
      </w:r>
    </w:p>
    <w:p>
      <w:pPr>
        <w:pStyle w:val="Normal"/>
        <w:spacing w:before="240" w:after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(ЛОТ №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en-US"/>
        </w:rPr>
        <w:t>118201-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ПРО ДЭК-2026-ДРСК-ПЭС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>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p>
      <w:pPr>
        <w:pStyle w:val="16"/>
        <w:tabs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r>
        <w:fldChar w:fldCharType="begin"/>
      </w:r>
      <w:r>
        <w:instrText> TOC \z \o "1-4" \u \h</w:instrText>
      </w:r>
      <w:r>
        <w:fldChar w:fldCharType="separate"/>
      </w:r>
      <w:hyperlink w:anchor="_Toc168597068">
        <w:r>
          <w:rPr>
            <w:webHidden/>
            <w:rStyle w:val="Style19"/>
            <w:vanish w:val="false"/>
          </w:rPr>
          <w:t>1.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b w:val="false"/>
            <w:bCs w:val="false"/>
            <w:sz w:val="22"/>
            <w:szCs w:val="22"/>
          </w:rPr>
          <w:tab/>
        </w:r>
        <w:r>
          <w:rPr>
            <w:rStyle w:val="Style19"/>
          </w:rPr>
          <w:t>Общие сведения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_Toc168597068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69">
        <w:r>
          <w:rPr>
            <w:webHidden/>
            <w:rStyle w:val="Style19"/>
            <w:iCs/>
            <w:vanish w:val="false"/>
          </w:rPr>
          <w:t>1.1.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Обозначения и сокращения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_Toc168597069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70">
        <w:r>
          <w:rPr>
            <w:webHidden/>
            <w:rStyle w:val="Style19"/>
            <w:iCs/>
            <w:vanish w:val="false"/>
          </w:rPr>
          <w:t>1.2.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Наименование закупаемой продукции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_Toc168597070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71">
        <w:r>
          <w:rPr>
            <w:webHidden/>
            <w:rStyle w:val="Style19"/>
            <w:iCs/>
            <w:vanish w:val="false"/>
          </w:rPr>
          <w:t>1.3.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Цель оказания услуг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_Toc168597071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72">
        <w:r>
          <w:rPr>
            <w:webHidden/>
            <w:rStyle w:val="Style19"/>
            <w:iCs/>
            <w:vanish w:val="false"/>
          </w:rPr>
          <w:t>1.4.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Существующее положение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_Toc168597072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73">
        <w:r>
          <w:rPr>
            <w:webHidden/>
          </w:rPr>
          <w:fldChar w:fldCharType="begin"/>
        </w:r>
        <w:r>
          <w:rPr>
            <w:webHidden/>
          </w:rPr>
          <w:instrText>PAGEREF _Toc168597073 \h</w:instrText>
        </w:r>
        <w:r>
          <w:rPr>
            <w:webHidden/>
          </w:rPr>
          <w:fldChar w:fldCharType="separate"/>
        </w:r>
        <w:r>
          <w:rPr>
            <w:webHidden/>
            <w:rStyle w:val="Style19"/>
            <w:vanish w:val="false"/>
          </w:rPr>
          <w:t>Таблица 1. Перечень объектов заказчика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74">
        <w:r>
          <w:rPr>
            <w:webHidden/>
            <w:rStyle w:val="Style19"/>
            <w:iCs/>
            <w:vanish w:val="false"/>
          </w:rPr>
          <w:t>1.5.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_Toc168597074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75">
        <w:r>
          <w:rPr>
            <w:webHidden/>
            <w:rStyle w:val="Style19"/>
            <w:vanish w:val="false"/>
          </w:rPr>
          <w:t>2.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b w:val="false"/>
            <w:bCs w:val="false"/>
            <w:sz w:val="22"/>
            <w:szCs w:val="22"/>
          </w:rPr>
          <w:tab/>
        </w:r>
        <w:r>
          <w:rPr>
            <w:rStyle w:val="Style19"/>
          </w:rPr>
          <w:t>Требования к продукции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_Toc168597075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42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76">
        <w:r>
          <w:rPr>
            <w:webHidden/>
            <w:rStyle w:val="Style19"/>
            <w:iCs/>
            <w:vanish w:val="false"/>
          </w:rPr>
          <w:t>2.1.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Требования к объемам и срокам оказания услуг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_Toc168597076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34"/>
        <w:tabs>
          <w:tab w:val="left" w:pos="112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77">
        <w:r>
          <w:rPr>
            <w:webHidden/>
            <w:rStyle w:val="Style19"/>
            <w:vanish w:val="false"/>
          </w:rPr>
          <w:t>2.1.1.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Требования к перечню и объему услуг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_Toc168597077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78">
        <w:r>
          <w:rPr>
            <w:webHidden/>
          </w:rPr>
          <w:fldChar w:fldCharType="begin"/>
        </w:r>
        <w:r>
          <w:rPr>
            <w:webHidden/>
          </w:rPr>
          <w:instrText>PAGEREF _Toc168597078 \h</w:instrText>
        </w:r>
        <w:r>
          <w:rPr>
            <w:webHidden/>
          </w:rPr>
          <w:fldChar w:fldCharType="separate"/>
        </w:r>
        <w:r>
          <w:rPr>
            <w:webHidden/>
            <w:rStyle w:val="Style19"/>
            <w:vanish w:val="false"/>
          </w:rPr>
          <w:t>Таблица 2. Перечень и объем оказываемых услуг</w:t>
          <w:tab/>
          <w:t>4</w:t>
        </w:r>
        <w:r>
          <w:rPr>
            <w:webHidden/>
          </w:rPr>
          <w:fldChar w:fldCharType="end"/>
        </w:r>
      </w:hyperlink>
    </w:p>
    <w:p>
      <w:pPr>
        <w:pStyle w:val="34"/>
        <w:tabs>
          <w:tab w:val="left" w:pos="112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79">
        <w:r>
          <w:rPr>
            <w:webHidden/>
            <w:rStyle w:val="Style19"/>
            <w:vanish w:val="false"/>
          </w:rPr>
          <w:t>2.1.2.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Требования к срокам оказания услуг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_Toc168597079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0">
        <w:r>
          <w:rPr>
            <w:webHidden/>
          </w:rPr>
          <w:fldChar w:fldCharType="begin"/>
        </w:r>
        <w:r>
          <w:rPr>
            <w:webHidden/>
          </w:rPr>
          <w:instrText>PAGEREF _Toc168597080 \h</w:instrText>
        </w:r>
        <w:r>
          <w:rPr>
            <w:webHidden/>
          </w:rPr>
          <w:fldChar w:fldCharType="separate"/>
        </w:r>
        <w:r>
          <w:rPr>
            <w:webHidden/>
            <w:rStyle w:val="Style19"/>
            <w:vanish w:val="false"/>
          </w:rPr>
          <w:t>Таблица 3. Требования к срокам оказания услуг</w:t>
          <w:tab/>
          <w:t>4</w:t>
        </w:r>
        <w:r>
          <w:rPr>
            <w:webHidden/>
          </w:rPr>
          <w:fldChar w:fldCharType="end"/>
        </w:r>
      </w:hyperlink>
    </w:p>
    <w:p>
      <w:pPr>
        <w:pStyle w:val="42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68597081">
        <w:r>
          <w:rPr>
            <w:webHidden/>
            <w:rStyle w:val="Style19"/>
            <w:iCs/>
            <w:vanish w:val="false"/>
          </w:rPr>
          <w:t>2.2.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Style w:val="Style19"/>
          </w:rPr>
          <w:t>Требования к качеству услуг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_Toc168597081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5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2">
        <w:r>
          <w:rPr>
            <w:webHidden/>
          </w:rPr>
          <w:fldChar w:fldCharType="begin"/>
        </w:r>
        <w:r>
          <w:rPr>
            <w:webHidden/>
          </w:rPr>
          <w:instrText>PAGEREF _Toc168597082 \h</w:instrText>
        </w:r>
        <w:r>
          <w:rPr>
            <w:webHidden/>
          </w:rPr>
          <w:fldChar w:fldCharType="separate"/>
        </w:r>
        <w:r>
          <w:rPr>
            <w:webHidden/>
            <w:rStyle w:val="Style19"/>
            <w:vanish w:val="false"/>
          </w:rPr>
          <w:t>Таблица 4. Требования к качеству услуг</w:t>
          <w:tab/>
          <w:t>5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3">
        <w:r>
          <w:rPr>
            <w:webHidden/>
            <w:rStyle w:val="Style19"/>
            <w:vanish w:val="false"/>
          </w:rPr>
          <w:t>3.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b w:val="false"/>
            <w:bCs w:val="false"/>
            <w:sz w:val="22"/>
            <w:szCs w:val="22"/>
          </w:rPr>
          <w:tab/>
        </w:r>
        <w:r>
          <w:rPr>
            <w:rStyle w:val="Style19"/>
          </w:rPr>
          <w:t>Требования к документации по ценообразованию на этапе закупки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_Toc168597083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9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4">
        <w:r>
          <w:rPr>
            <w:webHidden/>
            <w:rStyle w:val="Style19"/>
            <w:rFonts w:eastAsia="Calibri"/>
            <w:vanish w:val="false"/>
            <w:lang w:val="x-none" w:eastAsia="x-none"/>
          </w:rPr>
          <w:t>4.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b w:val="false"/>
            <w:bCs w:val="false"/>
            <w:sz w:val="22"/>
            <w:szCs w:val="22"/>
          </w:rPr>
          <w:tab/>
        </w:r>
        <w:r>
          <w:rPr>
            <w:rStyle w:val="Style19"/>
            <w:rFonts w:eastAsia="Calibri"/>
            <w:lang w:val="x-none" w:eastAsia="x-none"/>
          </w:rPr>
          <w:t>Требования к документации на этапе закупки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_Toc168597084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9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5">
        <w:r>
          <w:rPr>
            <w:webHidden/>
            <w:rStyle w:val="Style19"/>
            <w:rFonts w:eastAsia="Calibri"/>
            <w:vanish w:val="false"/>
            <w:lang w:val="x-none" w:eastAsia="x-none"/>
          </w:rPr>
          <w:t>5.</w:t>
        </w:r>
        <w:r>
          <w:rPr>
            <w:rStyle w:val="Style19"/>
            <w:rFonts w:eastAsia="" w:cs="" w:ascii="Calibri" w:hAnsi="Calibri" w:asciiTheme="minorHAnsi" w:cstheme="minorBidi" w:eastAsiaTheme="minorEastAsia" w:hAnsiTheme="minorHAnsi"/>
            <w:b w:val="false"/>
            <w:bCs w:val="false"/>
            <w:sz w:val="22"/>
            <w:szCs w:val="22"/>
          </w:rPr>
          <w:tab/>
        </w:r>
        <w:r>
          <w:rPr>
            <w:rStyle w:val="Style19"/>
            <w:rFonts w:eastAsia="Calibri"/>
            <w:lang w:val="x-none" w:eastAsia="x-none"/>
          </w:rPr>
          <w:t>Приложения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_Toc168597085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9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6">
        <w:r>
          <w:rPr>
            <w:webHidden/>
            <w:rStyle w:val="Style19"/>
            <w:rFonts w:eastAsia="Calibri"/>
            <w:vanish w:val="false"/>
          </w:rPr>
          <w:t>Приложение № 1 к Техническим требованиям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_Toc168597086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10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7">
        <w:r>
          <w:rPr>
            <w:webHidden/>
            <w:rStyle w:val="Style19"/>
            <w:rFonts w:eastAsia="Calibri"/>
            <w:vanish w:val="false"/>
          </w:rPr>
          <w:t>Приложение № 2 к Техническим требованиям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_Toc168597087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11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8">
        <w:r>
          <w:rPr>
            <w:webHidden/>
            <w:rStyle w:val="Style19"/>
            <w:rFonts w:eastAsia="Calibri"/>
            <w:vanish w:val="false"/>
          </w:rPr>
          <w:t>Приложение № 3 к Техническим требованиям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_Toc168597088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12</w:t>
        </w:r>
        <w:r>
          <w:rPr>
            <w:webHidden/>
          </w:rPr>
          <w:fldChar w:fldCharType="end"/>
        </w:r>
      </w:hyperlink>
    </w:p>
    <w:p>
      <w:pPr>
        <w:pStyle w:val="16"/>
        <w:tabs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 w:val="false"/>
          <w:bCs w:val="false"/>
          <w:sz w:val="22"/>
          <w:szCs w:val="22"/>
        </w:rPr>
      </w:pPr>
      <w:hyperlink w:anchor="_Toc168597089">
        <w:r>
          <w:rPr>
            <w:webHidden/>
            <w:rStyle w:val="Style19"/>
            <w:rFonts w:eastAsia="Calibri"/>
            <w:vanish w:val="false"/>
          </w:rPr>
          <w:t>Приложение № 4 к Техническим требованиям</w:t>
        </w:r>
        <w:r>
          <w:rPr>
            <w:webHidden/>
          </w:rPr>
          <w:fldChar w:fldCharType="begin"/>
        </w:r>
        <w:r>
          <w:rPr>
            <w:webHidden/>
          </w:rPr>
          <w:instrText>PAGEREF _Toc168597089 \h</w:instrText>
        </w:r>
        <w:r>
          <w:rPr>
            <w:webHidden/>
          </w:rPr>
          <w:fldChar w:fldCharType="separate"/>
        </w:r>
        <w:r>
          <w:rPr>
            <w:rStyle w:val="Style19"/>
            <w:vanish w:val="false"/>
          </w:rPr>
          <w:tab/>
          <w:t>14</w:t>
        </w:r>
        <w:r>
          <w:rPr>
            <w:webHidden/>
          </w:rPr>
          <w:fldChar w:fldCharType="end"/>
        </w:r>
      </w:hyperlink>
    </w:p>
    <w:p>
      <w:pPr>
        <w:pStyle w:val="2"/>
        <w:numPr>
          <w:ilvl w:val="0"/>
          <w:numId w:val="0"/>
        </w:numPr>
        <w:ind w:left="700" w:hanging="700"/>
        <w:rPr/>
      </w:pPr>
      <w:r>
        <w:rPr/>
      </w:r>
      <w:r>
        <w:fldChar w:fldCharType="end"/>
      </w:r>
    </w:p>
    <w:p>
      <w:pPr>
        <w:pStyle w:val="1"/>
        <w:numPr>
          <w:ilvl w:val="0"/>
          <w:numId w:val="2"/>
        </w:numPr>
        <w:spacing w:before="240" w:after="240"/>
        <w:ind w:left="0" w:hanging="0"/>
        <w:jc w:val="center"/>
        <w:rPr>
          <w:caps/>
        </w:rPr>
      </w:pPr>
      <w:bookmarkStart w:id="0" w:name="_Toc168597068"/>
      <w:bookmarkEnd w:id="0"/>
      <w:r>
        <w:rPr/>
        <w:t>Общие сведения</w:t>
      </w:r>
    </w:p>
    <w:p>
      <w:pPr>
        <w:pStyle w:val="4"/>
        <w:numPr>
          <w:ilvl w:val="1"/>
          <w:numId w:val="2"/>
        </w:numPr>
        <w:spacing w:before="240" w:after="120"/>
        <w:ind w:left="709" w:hanging="709"/>
        <w:rPr/>
      </w:pPr>
      <w:bookmarkStart w:id="1" w:name="_Toc46743505"/>
      <w:bookmarkStart w:id="2" w:name="_Toc168597069"/>
      <w:bookmarkEnd w:id="1"/>
      <w:bookmarkEnd w:id="2"/>
      <w:r>
        <w:rPr/>
        <w:t>Обозначения и сокращения</w:t>
      </w:r>
    </w:p>
    <w:tbl>
      <w:tblPr>
        <w:tblW w:w="9769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793"/>
        <w:gridCol w:w="6975"/>
      </w:tblGrid>
      <w:tr>
        <w:trPr>
          <w:trHeight w:val="77" w:hRule="atLeast"/>
        </w:trPr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Style26"/>
              <w:widowControl w:val="false"/>
              <w:suppressAutoHyphens w:val="true"/>
              <w:spacing w:lineRule="auto" w:line="240" w:before="60" w:after="60"/>
              <w:ind w:left="0" w:right="0" w:hanging="0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highlight w:val="white"/>
              </w:rPr>
              <w:t>Акционерное общество «Дальневосточная распределительная сетевая компания» (АО «ДРСК</w:t>
            </w:r>
            <w:r>
              <w:rPr>
                <w:b/>
                <w:i/>
                <w:sz w:val="24"/>
                <w:szCs w:val="24"/>
                <w:highlight w:val="white"/>
              </w:rPr>
              <w:t>»)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</w:tr>
      <w:tr>
        <w:trPr>
          <w:trHeight w:val="77" w:hRule="atLeast"/>
        </w:trPr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Работник, за которым закреплена ответственность за итоговый результат деятельности по нескольким однородным функциям</w:t>
            </w:r>
          </w:p>
        </w:tc>
      </w:tr>
      <w:tr>
        <w:trPr>
          <w:trHeight w:val="77" w:hRule="atLeast"/>
        </w:trPr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Участник, получивший право заключения договора </w:t>
            </w:r>
          </w:p>
        </w:tc>
      </w:tr>
    </w:tbl>
    <w:p>
      <w:pPr>
        <w:pStyle w:val="4"/>
        <w:numPr>
          <w:ilvl w:val="1"/>
          <w:numId w:val="2"/>
        </w:numPr>
        <w:spacing w:before="240" w:after="120"/>
        <w:ind w:left="709" w:hanging="709"/>
        <w:rPr/>
      </w:pPr>
      <w:bookmarkStart w:id="3" w:name="_Toc46743506"/>
      <w:bookmarkStart w:id="4" w:name="_Toc168597070"/>
      <w:bookmarkEnd w:id="3"/>
      <w:bookmarkEnd w:id="4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left" w:pos="426" w:leader="none"/>
        </w:tabs>
        <w:spacing w:before="120" w:after="12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white"/>
          <w:u w:val="none"/>
          <w:em w:val="none"/>
        </w:rPr>
        <w:t>ОКПД2 62.09.20 Консультационные и аналогичные услуги в области информационных технологий по администрированию СК-11 для ЦУС филиала  АО "ДРСК" "Приморские электрические сети"</w:t>
      </w:r>
      <w:bookmarkStart w:id="5" w:name="_Toc46743507"/>
      <w:r>
        <w:rPr>
          <w:sz w:val="24"/>
          <w:szCs w:val="24"/>
          <w:highlight w:val="white"/>
        </w:rPr>
        <w:t xml:space="preserve"> (лот №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white"/>
          <w:u w:val="none"/>
          <w:em w:val="none"/>
          <w:lang w:eastAsia="en-US"/>
        </w:rPr>
        <w:t>118201-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white"/>
          <w:u w:val="none"/>
          <w:em w:val="none"/>
        </w:rPr>
        <w:t>ПРО ДЭК-2026-ДРСК-ПЭС</w:t>
      </w:r>
      <w:r>
        <w:rPr>
          <w:sz w:val="24"/>
          <w:szCs w:val="24"/>
        </w:rPr>
        <w:t>).</w:t>
      </w:r>
    </w:p>
    <w:p>
      <w:pPr>
        <w:pStyle w:val="4"/>
        <w:numPr>
          <w:ilvl w:val="1"/>
          <w:numId w:val="2"/>
        </w:numPr>
        <w:spacing w:before="240" w:after="120"/>
        <w:ind w:left="709" w:hanging="709"/>
        <w:rPr/>
      </w:pPr>
      <w:bookmarkStart w:id="6" w:name="_Toc168597071"/>
      <w:r>
        <w:rPr/>
        <w:t xml:space="preserve">Цель </w:t>
      </w:r>
      <w:bookmarkEnd w:id="5"/>
      <w:bookmarkEnd w:id="6"/>
      <w:r>
        <w:rPr/>
        <w:t>оказания услуг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Целью оказания услуг является получение навыков работы с программным обеспечением, работающим на платформе «С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-11» для применения их в производственной деятельности.</w:t>
      </w:r>
    </w:p>
    <w:p>
      <w:pPr>
        <w:pStyle w:val="4"/>
        <w:numPr>
          <w:ilvl w:val="1"/>
          <w:numId w:val="2"/>
        </w:numPr>
        <w:spacing w:before="240" w:after="120"/>
        <w:ind w:left="709" w:hanging="709"/>
        <w:rPr/>
      </w:pPr>
      <w:bookmarkStart w:id="7" w:name="_Toc46743508"/>
      <w:bookmarkStart w:id="8" w:name="_Toc168597072"/>
      <w:bookmarkEnd w:id="7"/>
      <w:bookmarkEnd w:id="8"/>
      <w:r>
        <w:rPr/>
        <w:t>Существующее положение</w:t>
      </w:r>
    </w:p>
    <w:p>
      <w:pPr>
        <w:pStyle w:val="Normal"/>
        <w:widowControl w:val="false"/>
        <w:tabs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в получение навыков обоснована применением программного обеспечения СК-11 на объекта</w:t>
      </w:r>
      <w:r>
        <w:rPr>
          <w:sz w:val="24"/>
          <w:szCs w:val="24"/>
          <w:highlight w:val="white"/>
        </w:rPr>
        <w:t>х автоматизации организаций Группы РусГидро.</w:t>
      </w:r>
    </w:p>
    <w:p>
      <w:pPr>
        <w:pStyle w:val="1"/>
        <w:numPr>
          <w:ilvl w:val="0"/>
          <w:numId w:val="0"/>
        </w:numPr>
        <w:ind w:left="700" w:hanging="700"/>
        <w:jc w:val="right"/>
        <w:rPr>
          <w:sz w:val="24"/>
          <w:szCs w:val="24"/>
        </w:rPr>
      </w:pPr>
      <w:bookmarkStart w:id="9" w:name="_Toc168597073"/>
      <w:r>
        <w:rPr>
          <w:sz w:val="24"/>
          <w:szCs w:val="24"/>
          <w:highlight w:val="white"/>
        </w:rPr>
        <w:t>Табли</w:t>
      </w:r>
      <w:bookmarkEnd w:id="9"/>
      <w:r>
        <w:rPr>
          <w:sz w:val="24"/>
          <w:szCs w:val="24"/>
        </w:rPr>
        <w:t>ца 1. Перечень объектов заказчика</w:t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6"/>
        <w:gridCol w:w="3644"/>
        <w:gridCol w:w="2522"/>
        <w:gridCol w:w="3198"/>
      </w:tblGrid>
      <w:tr>
        <w:trPr/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объекта</w:t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3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актива Заказчика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713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highlight w:val="white"/>
                <w:u w:val="none"/>
                <w:em w:val="none"/>
              </w:rPr>
              <w:t>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КПД2 62.09.20 Консультационные и аналогичные услуги в области информационных технологий по администрированию СК-11 для ЦУС филиала  АО "ДРСК" "Приморские электрические сети"</w:t>
            </w:r>
          </w:p>
        </w:tc>
        <w:tc>
          <w:tcPr>
            <w:tcW w:w="2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месту нахождения Исполнителя с применением дистанционных технологий в информационно-коммуникационная сети Интернет</w:t>
            </w:r>
          </w:p>
        </w:tc>
        <w:tc>
          <w:tcPr>
            <w:tcW w:w="3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</w:rPr>
              <w:t>Специалист филиала АО «ДРСК» «Приморские электрические сети»</w:t>
            </w:r>
          </w:p>
        </w:tc>
      </w:tr>
    </w:tbl>
    <w:p>
      <w:pPr>
        <w:pStyle w:val="4"/>
        <w:numPr>
          <w:ilvl w:val="1"/>
          <w:numId w:val="2"/>
        </w:numPr>
        <w:spacing w:before="240" w:after="120"/>
        <w:ind w:left="709" w:hanging="709"/>
        <w:jc w:val="both"/>
        <w:rPr/>
      </w:pPr>
      <w:bookmarkStart w:id="10" w:name="_Toc46743509"/>
      <w:bookmarkStart w:id="11" w:name="_Hlk49857604"/>
      <w:bookmarkStart w:id="12" w:name="_Toc168597074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Start w:id="14" w:name="_Hlk48209761"/>
      <w:bookmarkEnd w:id="10"/>
      <w:bookmarkEnd w:id="11"/>
      <w:bookmarkEnd w:id="12"/>
      <w:bookmarkEnd w:id="13"/>
      <w:r>
        <w:rPr/>
        <w:t>(в том числе перечень ресурсов, услуг и документов, предоставляемых заказчиком на этапе исполнения договора)</w:t>
      </w:r>
    </w:p>
    <w:p>
      <w:pPr>
        <w:pStyle w:val="Normal"/>
        <w:widowControl w:val="false"/>
        <w:tabs>
          <w:tab w:val="left" w:pos="426" w:leader="none"/>
        </w:tabs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На этапе исполнения договора Исполнителем должны быть выполнены следующие действия:</w:t>
      </w:r>
    </w:p>
    <w:p>
      <w:pPr>
        <w:pStyle w:val="ListParagraph"/>
        <w:widowControl w:val="false"/>
        <w:numPr>
          <w:ilvl w:val="2"/>
          <w:numId w:val="7"/>
        </w:numPr>
        <w:tabs>
          <w:tab w:val="left" w:pos="700" w:leader="none"/>
        </w:tabs>
        <w:spacing w:before="60" w:after="60"/>
        <w:ind w:left="700" w:hanging="700"/>
        <w:contextualSpacing/>
        <w:jc w:val="both"/>
        <w:rPr/>
      </w:pPr>
      <w:r>
        <w:rPr/>
        <w:t>Обеспечен удаленный доступ к теоретической части материалов</w:t>
      </w:r>
      <w:r>
        <w:rPr>
          <w:iCs/>
        </w:rPr>
        <w:t>.</w:t>
      </w:r>
    </w:p>
    <w:p>
      <w:pPr>
        <w:pStyle w:val="ListParagraph"/>
        <w:widowControl w:val="false"/>
        <w:numPr>
          <w:ilvl w:val="2"/>
          <w:numId w:val="7"/>
        </w:numPr>
        <w:tabs>
          <w:tab w:val="left" w:pos="700" w:leader="none"/>
        </w:tabs>
        <w:spacing w:before="60" w:after="60"/>
        <w:ind w:left="700" w:hanging="700"/>
        <w:contextualSpacing/>
        <w:jc w:val="both"/>
        <w:rPr/>
      </w:pPr>
      <w:r>
        <w:rPr/>
        <w:t xml:space="preserve">Проведено тестирование (итоговая аттестация), в случае успешного прохождения которого специалисту Заказчика (слушателю) выдается соответствующий сертификат. </w:t>
      </w:r>
    </w:p>
    <w:p>
      <w:pPr>
        <w:pStyle w:val="1"/>
        <w:numPr>
          <w:ilvl w:val="0"/>
          <w:numId w:val="2"/>
        </w:numPr>
        <w:spacing w:before="240" w:after="240"/>
        <w:ind w:left="0" w:hanging="0"/>
        <w:jc w:val="center"/>
        <w:rPr/>
      </w:pPr>
      <w:bookmarkStart w:id="15" w:name="_Toc51339693"/>
      <w:bookmarkStart w:id="16" w:name="_Toc168597075"/>
      <w:bookmarkStart w:id="17" w:name="_Toc50125126"/>
      <w:bookmarkEnd w:id="14"/>
      <w:bookmarkEnd w:id="15"/>
      <w:bookmarkEnd w:id="16"/>
      <w:bookmarkEnd w:id="17"/>
      <w:r>
        <w:rPr/>
        <w:t>Требования к продукции</w:t>
      </w:r>
    </w:p>
    <w:p>
      <w:pPr>
        <w:pStyle w:val="4"/>
        <w:numPr>
          <w:ilvl w:val="1"/>
          <w:numId w:val="2"/>
        </w:numPr>
        <w:spacing w:before="240" w:after="120"/>
        <w:ind w:left="709" w:hanging="709"/>
        <w:rPr/>
      </w:pPr>
      <w:bookmarkStart w:id="18" w:name="_Toc168597076"/>
      <w:bookmarkEnd w:id="18"/>
      <w:r>
        <w:rPr/>
        <w:t>Требования к объемам и срокам оказания услуг</w:t>
      </w:r>
    </w:p>
    <w:p>
      <w:pPr>
        <w:pStyle w:val="3"/>
        <w:numPr>
          <w:ilvl w:val="2"/>
          <w:numId w:val="2"/>
        </w:numPr>
        <w:ind w:left="700" w:hanging="700"/>
        <w:rPr/>
      </w:pPr>
      <w:bookmarkStart w:id="19" w:name="_Toc168597077"/>
      <w:bookmarkEnd w:id="19"/>
      <w:r>
        <w:rPr/>
        <w:t>Требования к перечню и объему услуг</w:t>
      </w:r>
    </w:p>
    <w:p>
      <w:pPr>
        <w:pStyle w:val="1"/>
        <w:numPr>
          <w:ilvl w:val="0"/>
          <w:numId w:val="0"/>
        </w:numPr>
        <w:ind w:left="700" w:hanging="700"/>
        <w:jc w:val="right"/>
        <w:rPr>
          <w:sz w:val="24"/>
          <w:szCs w:val="24"/>
        </w:rPr>
      </w:pPr>
      <w:bookmarkStart w:id="20" w:name="_Toc168597078"/>
      <w:bookmarkStart w:id="21" w:name="_Toc51339695"/>
      <w:r>
        <w:rPr>
          <w:sz w:val="24"/>
          <w:szCs w:val="24"/>
        </w:rPr>
        <w:t xml:space="preserve">Таблица 2. Перечень </w:t>
      </w:r>
      <w:bookmarkEnd w:id="20"/>
      <w:bookmarkEnd w:id="21"/>
      <w:r>
        <w:rPr>
          <w:sz w:val="24"/>
          <w:szCs w:val="24"/>
        </w:rPr>
        <w:t>и объем оказываемых услуг</w:t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96"/>
        <w:gridCol w:w="6031"/>
        <w:gridCol w:w="1540"/>
        <w:gridCol w:w="1653"/>
      </w:tblGrid>
      <w:tr>
        <w:trPr>
          <w:tblHeader w:val="true"/>
        </w:trPr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120" w:after="12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highlight w:val="white"/>
                <w:u w:val="none"/>
                <w:em w:val="none"/>
              </w:rPr>
              <w:t>ОКПД2 62.09.20 Консультационные и аналогичные услуги в области информационных технологий по администрированию СК-11 для ЦУС филиала АО "ДРСК" "Приморские электрические сети"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  <w:r>
              <w:rPr>
                <w:rStyle w:val="Style21"/>
                <w:sz w:val="24"/>
                <w:szCs w:val="24"/>
              </w:rPr>
              <w:footnoteReference w:id="2"/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3"/>
        <w:numPr>
          <w:ilvl w:val="2"/>
          <w:numId w:val="2"/>
        </w:numPr>
        <w:ind w:left="700" w:hanging="700"/>
        <w:rPr/>
      </w:pPr>
      <w:bookmarkStart w:id="22" w:name="_Toc168597079"/>
      <w:bookmarkStart w:id="23" w:name="_Toc51339696"/>
      <w:r>
        <w:rPr/>
        <w:t xml:space="preserve">Требования </w:t>
      </w:r>
      <w:bookmarkEnd w:id="22"/>
      <w:bookmarkEnd w:id="23"/>
      <w:r>
        <w:rPr/>
        <w:t>к срокам оказания услуг</w:t>
      </w:r>
    </w:p>
    <w:p>
      <w:pPr>
        <w:pStyle w:val="1"/>
        <w:numPr>
          <w:ilvl w:val="0"/>
          <w:numId w:val="0"/>
        </w:numPr>
        <w:ind w:left="700" w:hanging="700"/>
        <w:jc w:val="right"/>
        <w:rPr>
          <w:sz w:val="24"/>
          <w:szCs w:val="24"/>
        </w:rPr>
      </w:pPr>
      <w:bookmarkStart w:id="24" w:name="_Toc168597080"/>
      <w:bookmarkStart w:id="25" w:name="_Toc50125127"/>
      <w:bookmarkStart w:id="26" w:name="_Toc51339697"/>
      <w:bookmarkStart w:id="27" w:name="_Toc501251261"/>
      <w:bookmarkEnd w:id="27"/>
      <w:r>
        <w:rPr>
          <w:sz w:val="24"/>
          <w:szCs w:val="24"/>
        </w:rPr>
        <w:t xml:space="preserve">Таблица 3. </w:t>
      </w:r>
      <w:bookmarkStart w:id="28" w:name="_Hlk50465284"/>
      <w:r>
        <w:rPr>
          <w:sz w:val="24"/>
          <w:szCs w:val="24"/>
        </w:rPr>
        <w:t xml:space="preserve">Требования к срокам </w:t>
      </w:r>
      <w:bookmarkEnd w:id="24"/>
      <w:bookmarkEnd w:id="25"/>
      <w:bookmarkEnd w:id="26"/>
      <w:bookmarkEnd w:id="28"/>
      <w:r>
        <w:rPr>
          <w:sz w:val="24"/>
          <w:szCs w:val="24"/>
        </w:rPr>
        <w:t>оказания услуг</w:t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5873"/>
        <w:gridCol w:w="1928"/>
        <w:gridCol w:w="1415"/>
      </w:tblGrid>
      <w:tr>
        <w:trPr/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5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highlight w:val="white"/>
                <w:u w:val="none"/>
                <w:em w:val="none"/>
              </w:rPr>
              <w:t>ОКПД2 62.09.20 Консультационные и аналогичные услуги в области информационных технологий по администрированию СК-11 для ЦУС филиала  АО "ДРСК" "Приморские электрические сети"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 07.12.2026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не позднее 3</w:t>
            </w:r>
            <w:r>
              <w:rPr>
                <w:sz w:val="24"/>
                <w:szCs w:val="24"/>
                <w:highlight w:val="white"/>
                <w:lang w:val="en-US"/>
              </w:rPr>
              <w:t>0</w:t>
            </w:r>
            <w:r>
              <w:rPr>
                <w:sz w:val="24"/>
                <w:szCs w:val="24"/>
                <w:highlight w:val="white"/>
              </w:rPr>
              <w:t>.</w:t>
            </w:r>
            <w:r>
              <w:rPr>
                <w:sz w:val="24"/>
                <w:szCs w:val="24"/>
                <w:highlight w:val="white"/>
                <w:lang w:val="en-US"/>
              </w:rPr>
              <w:t>12</w:t>
            </w:r>
            <w:bookmarkStart w:id="29" w:name="_Toc46743510"/>
            <w:bookmarkEnd w:id="29"/>
            <w:r>
              <w:rPr>
                <w:sz w:val="24"/>
                <w:szCs w:val="24"/>
                <w:highlight w:val="white"/>
              </w:rPr>
              <w:t>.2026</w:t>
            </w:r>
          </w:p>
        </w:tc>
      </w:tr>
    </w:tbl>
    <w:p>
      <w:pPr>
        <w:sectPr>
          <w:footnotePr>
            <w:numFmt w:val="decimal"/>
          </w:footnotePr>
          <w:type w:val="nextPage"/>
          <w:pgSz w:w="11906" w:h="16838"/>
          <w:pgMar w:left="1418" w:right="567" w:header="0" w:top="567" w:footer="0" w:bottom="709" w:gutter="0"/>
          <w:pgNumType w:fmt="decimal"/>
          <w:formProt w:val="false"/>
          <w:titlePg/>
          <w:textDirection w:val="lrTb"/>
          <w:docGrid w:type="default" w:linePitch="381" w:charSpace="4294952959"/>
        </w:sectPr>
      </w:pPr>
    </w:p>
    <w:p>
      <w:pPr>
        <w:pStyle w:val="4"/>
        <w:numPr>
          <w:ilvl w:val="1"/>
          <w:numId w:val="2"/>
        </w:numPr>
        <w:rPr/>
      </w:pPr>
      <w:bookmarkStart w:id="30" w:name="_Toc168597081"/>
      <w:bookmarkStart w:id="31" w:name="_Toc46743511"/>
      <w:r>
        <w:rPr/>
        <w:t xml:space="preserve">Требования к </w:t>
      </w:r>
      <w:bookmarkStart w:id="32" w:name="_Toc51339698"/>
      <w:bookmarkEnd w:id="30"/>
      <w:bookmarkEnd w:id="31"/>
      <w:bookmarkEnd w:id="32"/>
      <w:r>
        <w:rPr>
          <w:lang w:val="ru-RU"/>
        </w:rPr>
        <w:t>качеству услуг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 1 Таблицы 2):</w:t>
      </w:r>
    </w:p>
    <w:p>
      <w:pPr>
        <w:pStyle w:val="Normal"/>
        <w:widowControl w:val="false"/>
        <w:tabs>
          <w:tab w:val="left" w:pos="426" w:leader="none"/>
        </w:tabs>
        <w:suppressAutoHyphens w:val="true"/>
        <w:spacing w:before="120" w:after="120"/>
        <w:jc w:val="both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white"/>
          <w:u w:val="none"/>
          <w:em w:val="none"/>
        </w:rPr>
        <w:t>ОКПД2 62.09.20 Консультационные и аналогичные услуги в области информационных технологий по администрированию СК-11 для ЦУС филиала  АО "ДРСК" "Приморские электрические сети"</w:t>
      </w:r>
    </w:p>
    <w:p>
      <w:pPr>
        <w:pStyle w:val="1"/>
        <w:numPr>
          <w:ilvl w:val="0"/>
          <w:numId w:val="0"/>
        </w:numPr>
        <w:ind w:left="700" w:hanging="700"/>
        <w:jc w:val="right"/>
        <w:rPr>
          <w:sz w:val="24"/>
          <w:szCs w:val="24"/>
        </w:rPr>
      </w:pPr>
      <w:r>
        <w:rPr>
          <w:sz w:val="24"/>
          <w:szCs w:val="24"/>
        </w:rPr>
        <w:t>Таблица 4. Требования к качеству услуг</w:t>
      </w:r>
    </w:p>
    <w:tbl>
      <w:tblPr>
        <w:tblStyle w:val="af"/>
        <w:tblW w:w="15675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9"/>
        <w:gridCol w:w="2033"/>
        <w:gridCol w:w="4347"/>
        <w:gridCol w:w="7232"/>
        <w:gridCol w:w="1244"/>
      </w:tblGrid>
      <w:tr>
        <w:trPr>
          <w:tblHeader w:val="true"/>
          <w:trHeight w:val="230" w:hRule="atLeast"/>
        </w:trPr>
        <w:tc>
          <w:tcPr>
            <w:tcW w:w="819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033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2823" w:type="dxa"/>
            <w:gridSpan w:val="3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>
          <w:tblHeader w:val="true"/>
          <w:trHeight w:val="230" w:hRule="atLeast"/>
        </w:trPr>
        <w:tc>
          <w:tcPr>
            <w:tcW w:w="819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33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823" w:type="dxa"/>
            <w:gridSpan w:val="3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bookmarkStart w:id="33" w:name="_Toc53499667"/>
            <w:bookmarkEnd w:id="33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bookmarkStart w:id="34" w:name="_GoBack"/>
            <w:bookmarkEnd w:id="34"/>
            <w:r>
              <w:rPr>
                <w:sz w:val="24"/>
                <w:szCs w:val="24"/>
                <w:highlight w:val="white"/>
              </w:rPr>
              <w:t>1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навыков по работе с программным обеспечением, работающим на платформе «С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-11»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Внешнее. Исполнитель должен быть юридическим лицом, оказывающим консультационные услуги в рамках своей основной производственной деятельности.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Консультационные услуги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по обучению пользователей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рабочем месте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без отрыва от производства (дистанционно).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Заочная.</w:t>
            </w:r>
          </w:p>
        </w:tc>
      </w:tr>
      <w:tr>
        <w:trPr>
          <w:trHeight w:val="243" w:hRule="atLeast"/>
        </w:trPr>
        <w:tc>
          <w:tcPr>
            <w:tcW w:w="819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программы </w:t>
            </w:r>
          </w:p>
        </w:tc>
        <w:tc>
          <w:tcPr>
            <w:tcW w:w="43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8476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не менее 22 ак. ч.</w:t>
            </w:r>
          </w:p>
        </w:tc>
      </w:tr>
      <w:tr>
        <w:trPr>
          <w:trHeight w:val="243" w:hRule="atLeast"/>
        </w:trPr>
        <w:tc>
          <w:tcPr>
            <w:tcW w:w="81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8476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81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476" w:type="dxa"/>
            <w:gridSpan w:val="2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не менее 22 ак. ч.</w:t>
            </w:r>
          </w:p>
        </w:tc>
      </w:tr>
      <w:tr>
        <w:trPr>
          <w:trHeight w:val="111" w:hRule="atLeast"/>
        </w:trPr>
        <w:tc>
          <w:tcPr>
            <w:tcW w:w="819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restart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программы </w:t>
            </w:r>
          </w:p>
        </w:tc>
        <w:tc>
          <w:tcPr>
            <w:tcW w:w="434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Наименование информационного блока</w:t>
            </w:r>
          </w:p>
        </w:tc>
        <w:tc>
          <w:tcPr>
            <w:tcW w:w="72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Объем,</w:t>
              <w:br/>
              <w:t>ак. ч.</w:t>
            </w:r>
          </w:p>
        </w:tc>
      </w:tr>
      <w:tr>
        <w:trPr>
          <w:trHeight w:val="111" w:hRule="atLeast"/>
        </w:trPr>
        <w:tc>
          <w:tcPr>
            <w:tcW w:w="81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Архитектура/Платформа СК-11</w:t>
            </w:r>
          </w:p>
        </w:tc>
        <w:tc>
          <w:tcPr>
            <w:tcW w:w="723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bidi w:val="0"/>
              <w:spacing w:before="0" w:after="0"/>
              <w:ind w:left="357" w:hanging="357"/>
              <w:contextualSpacing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1. Общие сведения о комплексе CK-11. Система лицензирования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2. Платформа СК-11: архитектура, особенности реализации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3.Порядок средств технического сопровождения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</w:t>
            </w:r>
          </w:p>
        </w:tc>
      </w:tr>
      <w:tr>
        <w:trPr>
          <w:trHeight w:val="111" w:hRule="atLeast"/>
        </w:trPr>
        <w:tc>
          <w:tcPr>
            <w:tcW w:w="81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Работа с информационной моделью в СК-11</w:t>
            </w:r>
          </w:p>
        </w:tc>
        <w:tc>
          <w:tcPr>
            <w:tcW w:w="723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1. Общая информационная модель (</w:t>
            </w:r>
            <w:r>
              <w:rPr>
                <w:sz w:val="24"/>
                <w:szCs w:val="24"/>
                <w:highlight w:val="white"/>
                <w:lang w:val="en-US"/>
              </w:rPr>
              <w:t>CIM</w:t>
            </w:r>
            <w:r>
              <w:rPr>
                <w:sz w:val="24"/>
                <w:szCs w:val="24"/>
                <w:highlight w:val="white"/>
              </w:rPr>
              <w:t>) и ее расширение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 Менеджер версий модели (версионность модели, сравнение версий, журнал изменений)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1076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3. Редактор модели: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 xml:space="preserve">- Общие сведения.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 xml:space="preserve">- Описание интерфейса.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>- Импорт/экспорт данных: полный экспорт модели, участок (фрагмент) модели, набор изменений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4. Специализированные редакторы: </w:t>
            </w: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>Настройка состава редакторов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5. Групповой редактор данных: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>- описание интерфейса и функциональных возможностей; - назначение редактора.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 xml:space="preserve">-  формирование запроса (экспорт\импорт\сохранение).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 xml:space="preserve">- работа с объектами (редактирование, создание, удаление).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644" w:hanging="0"/>
              <w:contextualSpacing/>
              <w:jc w:val="left"/>
              <w:rPr/>
            </w:pPr>
            <w:r>
              <w:rPr>
                <w:rStyle w:val="Instancename"/>
                <w:rFonts w:cs="Arial"/>
                <w:color w:val="000000" w:themeColor="text1"/>
                <w:sz w:val="24"/>
                <w:szCs w:val="24"/>
                <w:shd w:fill="FFFFFF" w:val="clear"/>
              </w:rPr>
              <w:t>- импорт\экспорт данных; проверка корректности данных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10</w:t>
            </w:r>
          </w:p>
        </w:tc>
      </w:tr>
      <w:tr>
        <w:trPr>
          <w:trHeight w:val="111" w:hRule="atLeast"/>
        </w:trPr>
        <w:tc>
          <w:tcPr>
            <w:tcW w:w="81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300" w:after="150"/>
              <w:outlineLvl w:val="2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Arial"/>
                <w:b/>
                <w:bCs/>
                <w:color w:val="000000" w:themeShade="bf"/>
                <w:sz w:val="24"/>
                <w:szCs w:val="24"/>
                <w:highlight w:val="white"/>
                <w:lang w:eastAsia="ru-RU"/>
              </w:rPr>
              <w:t>SCADA</w:t>
            </w:r>
          </w:p>
        </w:tc>
        <w:tc>
          <w:tcPr>
            <w:tcW w:w="723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Общие сведения.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Рабочие столы.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Формы отображения.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Измерения в СК-11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Прибор.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Универсальный прибор.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Тестер.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Топологическая раскраска схемы.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Трассировки.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Временное оборудование.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Диспетчерские пометки.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Дистанционное управление.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Подсистема событий, формирование сводок.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Технологический контроль.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Ручной ввод значений оперативной информации.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Дорасчёты, локальные выражения, агрегирование.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Пользовательские сводки событий.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Динамические пределы.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Динамические наборы.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Сводки измерений.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Импульс-архивы.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Документы.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Просмотр данных в веб-интерфейсе</w:t>
            </w:r>
          </w:p>
          <w:p>
            <w:pPr>
              <w:pStyle w:val="ListParagraph"/>
              <w:numPr>
                <w:ilvl w:val="0"/>
                <w:numId w:val="8"/>
              </w:numPr>
              <w:bidi w:val="0"/>
              <w:spacing w:before="0" w:after="0"/>
              <w:ind w:left="357" w:hanging="357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Отображение данных в геоинформационной системе.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11" w:hRule="atLeast"/>
        </w:trPr>
        <w:tc>
          <w:tcPr>
            <w:tcW w:w="819" w:type="dxa"/>
            <w:vMerge w:val="continue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>
              <w:top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4"/>
                <w:szCs w:val="24"/>
                <w:highlight w:val="white"/>
              </w:rPr>
              <w:t>Информационный обмен в СК-11</w:t>
            </w:r>
          </w:p>
        </w:tc>
        <w:tc>
          <w:tcPr>
            <w:tcW w:w="72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1. Описание сети обмена информацией.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 Навигатор данных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</w:t>
            </w:r>
          </w:p>
        </w:tc>
      </w:tr>
      <w:tr>
        <w:trPr>
          <w:trHeight w:val="111" w:hRule="atLeast"/>
        </w:trPr>
        <w:tc>
          <w:tcPr>
            <w:tcW w:w="819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vMerge w:val="continue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Установка и администрирование комплекса, диагностика работы, поддержание и восстановление работоспособности</w:t>
            </w:r>
          </w:p>
        </w:tc>
        <w:tc>
          <w:tcPr>
            <w:tcW w:w="723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1. Настройка ролей и прав доступа пользователей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2. Диагностика работы СК-11, средства управления и контроля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3. Стратегии хранения данных</w:t>
            </w:r>
          </w:p>
        </w:tc>
        <w:tc>
          <w:tcPr>
            <w:tcW w:w="12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</w:t>
            </w:r>
          </w:p>
        </w:tc>
      </w:tr>
      <w:tr>
        <w:trPr>
          <w:trHeight w:val="111" w:hRule="atLeast"/>
        </w:trPr>
        <w:tc>
          <w:tcPr>
            <w:tcW w:w="8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>
              <w:top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Журналы</w:t>
            </w:r>
          </w:p>
        </w:tc>
        <w:tc>
          <w:tcPr>
            <w:tcW w:w="72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 Оперативный журнал: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 xml:space="preserve">- добавление компьютеров,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 xml:space="preserve">- добавление пользователей,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 xml:space="preserve">- информационная модель,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 xml:space="preserve">- настройки ЭОЖ.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>- ограничения видимости справочников.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 xml:space="preserve">2. Ведение нарядов-допусков и распоряжений: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>- НДР. Настройка журнала в информационной модели гид;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>- НДР. Настройка прав на журналы учета в системе санкционирования;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>- НДР. Настройка прав на подразделение в системе санкционирования.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>3. Журнал тактических и административных распоряжений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>4. Журнал дефектов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cs="Arial"/>
                <w:color w:val="222222"/>
                <w:sz w:val="24"/>
                <w:szCs w:val="24"/>
                <w:highlight w:val="white"/>
              </w:rPr>
              <w:t>5. Планирование и учёт мероприятий по работе с персоналом (журнал мероприятий)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11" w:hRule="atLeast"/>
        </w:trPr>
        <w:tc>
          <w:tcPr>
            <w:tcW w:w="8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>
              <w:top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4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Управление отключениями</w:t>
            </w:r>
          </w:p>
        </w:tc>
        <w:tc>
          <w:tcPr>
            <w:tcW w:w="723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1. Обзор функциональности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 Заявки на вывод оборудования в ремонт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 Описание конфигурационного файла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 Бланки / программы переключений</w:t>
            </w:r>
          </w:p>
        </w:tc>
        <w:tc>
          <w:tcPr>
            <w:tcW w:w="1244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оказания услуг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203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оказания услуг</w:t>
            </w:r>
          </w:p>
        </w:tc>
        <w:tc>
          <w:tcPr>
            <w:tcW w:w="12823" w:type="dxa"/>
            <w:gridSpan w:val="3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рабочем месте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без отрыва от производства (дистанционно).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занятий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white"/>
              </w:rPr>
              <w:t>Еженедельно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занятий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/>
            </w:pPr>
            <w:r>
              <w:rPr>
                <w:iCs/>
                <w:sz w:val="24"/>
                <w:szCs w:val="24"/>
                <w:highlight w:val="white"/>
              </w:rPr>
              <w:t xml:space="preserve">с 8.00 до 17.00 (время по г. Владивостоку, </w:t>
            </w:r>
            <w:r>
              <w:rPr>
                <w:b w:val="false"/>
                <w:i w:val="false"/>
                <w:iCs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UTC/GMT +10:00</w:t>
            </w:r>
            <w:r>
              <w:rPr>
                <w:iCs/>
                <w:sz w:val="24"/>
                <w:szCs w:val="24"/>
                <w:highlight w:val="white"/>
              </w:rPr>
              <w:t>)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методических материалов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включать в себя следующее:</w:t>
            </w:r>
          </w:p>
          <w:p>
            <w:pPr>
              <w:pStyle w:val="ListParagraph"/>
              <w:numPr>
                <w:ilvl w:val="3"/>
                <w:numId w:val="3"/>
              </w:numPr>
              <w:spacing w:before="60" w:after="60"/>
              <w:ind w:left="851" w:hanging="851"/>
              <w:contextualSpacing/>
              <w:rPr/>
            </w:pPr>
            <w:r>
              <w:rPr/>
              <w:t>Презентация по программе.</w:t>
            </w:r>
          </w:p>
          <w:p>
            <w:pPr>
              <w:pStyle w:val="ListParagraph"/>
              <w:numPr>
                <w:ilvl w:val="3"/>
                <w:numId w:val="3"/>
              </w:numPr>
              <w:spacing w:before="60" w:after="60"/>
              <w:ind w:left="851" w:hanging="851"/>
              <w:contextualSpacing/>
              <w:rPr/>
            </w:pPr>
            <w:r>
              <w:rPr/>
              <w:t xml:space="preserve">Видео-лекции с демонстрацией функций </w:t>
            </w:r>
            <w:r>
              <w:rPr>
                <w:lang w:val="en-US"/>
              </w:rPr>
              <w:t>CK</w:t>
            </w:r>
            <w:r>
              <w:rPr/>
              <w:t>-11.</w:t>
            </w:r>
          </w:p>
          <w:p>
            <w:pPr>
              <w:pStyle w:val="ListParagraph"/>
              <w:numPr>
                <w:ilvl w:val="3"/>
                <w:numId w:val="3"/>
              </w:numPr>
              <w:spacing w:before="60" w:after="60"/>
              <w:ind w:left="851" w:hanging="851"/>
              <w:contextualSpacing/>
              <w:rPr/>
            </w:pPr>
            <w:r>
              <w:rPr/>
              <w:t xml:space="preserve">Краткие конспекты. 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методических материалов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быть переданы следующим образом:</w:t>
            </w:r>
          </w:p>
          <w:p>
            <w:pPr>
              <w:pStyle w:val="ListParagraph"/>
              <w:numPr>
                <w:ilvl w:val="3"/>
                <w:numId w:val="3"/>
              </w:numPr>
              <w:tabs>
                <w:tab w:val="left" w:pos="810" w:leader="none"/>
              </w:tabs>
              <w:spacing w:before="60" w:after="60"/>
              <w:ind w:left="668" w:hanging="709"/>
              <w:contextualSpacing/>
              <w:rPr/>
            </w:pPr>
            <w:r>
              <w:rPr/>
              <w:t>Предоставление удаленного доступа к теоретической части материалов в течение 14 (четырнадцать) календарных дней путем создания для слушателя 1 (одной) учетной записи.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6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оказания услуг Исполнителем должен быть привлечен как штатный так и нештатный персонал экспертного уровня квалификации в изучаемой области знаний и обладающий необходимым уровнем компетенции, позволяющим добиться устойчивого эффекта в формировании и закреплении слушателями полученных знаний и навыков.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командирования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результативности оказания услуг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оказания услуг Исполнителем должен быть обеспечен анализ эффективности путем сравнения результатов вводного и итогового тестирований с обеспечением обратной связи каждому из участников.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4856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</w:tr>
      <w:tr>
        <w:trPr/>
        <w:tc>
          <w:tcPr>
            <w:tcW w:w="819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hanging="0"/>
              <w:contextualSpacing/>
              <w:rPr/>
            </w:pPr>
            <w:r>
              <w:rPr/>
            </w:r>
          </w:p>
        </w:tc>
        <w:tc>
          <w:tcPr>
            <w:tcW w:w="20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использование знаний</w:t>
            </w:r>
          </w:p>
        </w:tc>
        <w:tc>
          <w:tcPr>
            <w:tcW w:w="12823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и сведения, используемые Исполнителем при оказании услуг должны носить открытый характер, учитывать специфику производственной деятельности Заказчика и их использование участниками при выполнении ими своих должностных обязанностей не должно наносить морального ущерба другим членам рабочего коллектива или эскалировать напряженность при взаимодействии отдельных команд в ходе решения общих производственных задач.</w:t>
            </w:r>
          </w:p>
        </w:tc>
      </w:tr>
    </w:tbl>
    <w:p>
      <w:pPr>
        <w:sectPr>
          <w:footnotePr>
            <w:numFmt w:val="decimal"/>
          </w:footnotePr>
          <w:type w:val="nextPage"/>
          <w:pgSz w:orient="landscape" w:w="16838" w:h="11906"/>
          <w:pgMar w:left="567" w:right="567" w:header="0" w:top="1418" w:footer="0" w:bottom="709" w:gutter="0"/>
          <w:pgNumType w:fmt="decimal"/>
          <w:formProt w:val="false"/>
          <w:titlePg/>
          <w:textDirection w:val="lrTb"/>
          <w:docGrid w:type="default" w:linePitch="381" w:charSpace="4294952959"/>
        </w:sectPr>
      </w:pP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before="240" w:after="240"/>
        <w:contextualSpacing/>
        <w:jc w:val="center"/>
        <w:outlineLvl w:val="0"/>
        <w:rPr>
          <w:b/>
          <w:b/>
          <w:lang w:val="x-none" w:eastAsia="x-none" w:bidi="hi-IN"/>
        </w:rPr>
      </w:pPr>
      <w:bookmarkStart w:id="35" w:name="_Toc222913104"/>
      <w:bookmarkStart w:id="36" w:name="_Toc75446583"/>
      <w:bookmarkStart w:id="37" w:name="_Toc53393312"/>
      <w:bookmarkStart w:id="38" w:name="_Toc170504720"/>
      <w:bookmarkStart w:id="39" w:name="_Toc181179544"/>
      <w:bookmarkEnd w:id="35"/>
      <w:bookmarkEnd w:id="36"/>
      <w:bookmarkEnd w:id="37"/>
      <w:bookmarkEnd w:id="38"/>
      <w:bookmarkEnd w:id="39"/>
      <w:r>
        <w:rPr>
          <w:b/>
          <w:lang w:val="x-none" w:eastAsia="x-none" w:bidi="hi-IN"/>
        </w:rPr>
        <w:t>Требования к документации по ценообразованию на этапе определения цены на закупаемую продукцию</w:t>
      </w:r>
    </w:p>
    <w:p>
      <w:pPr>
        <w:pStyle w:val="Normal"/>
        <w:numPr>
          <w:ilvl w:val="1"/>
          <w:numId w:val="10"/>
        </w:numPr>
        <w:suppressAutoHyphens w:val="true"/>
        <w:spacing w:before="60" w:after="60"/>
        <w:ind w:left="709" w:hanging="709"/>
        <w:jc w:val="both"/>
        <w:rPr/>
      </w:pPr>
      <w:r>
        <w:rPr>
          <w:rFonts w:eastAsia="Calibri" w:cs="Arial Unicode MS" w:ascii="Liberation Serif" w:hAnsi="Liberation Serif"/>
          <w:sz w:val="24"/>
          <w:szCs w:val="24"/>
          <w:lang w:eastAsia="zh-CN" w:bidi="hi-IN"/>
        </w:rPr>
        <w:t xml:space="preserve">Участник процедуры мониторинга рынка должен предоставить технико-коммерческое предложение по форме Приложения № 1 к Техническим требованиям, учитывающее полноту согласия с </w:t>
      </w:r>
      <w:r>
        <w:rPr>
          <w:rFonts w:eastAsia="Calibri" w:cs="Arial Unicode MS" w:ascii="Liberation Serif" w:hAnsi="Liberation Serif"/>
          <w:sz w:val="24"/>
          <w:szCs w:val="24"/>
          <w:lang w:val="ru" w:eastAsia="zh-CN" w:bidi="hi-IN"/>
        </w:rPr>
        <w:t>требованиями Заказчика в части объема и сроков поставки.</w:t>
      </w:r>
    </w:p>
    <w:p>
      <w:pPr>
        <w:pStyle w:val="Normal"/>
        <w:numPr>
          <w:ilvl w:val="1"/>
          <w:numId w:val="10"/>
        </w:numPr>
        <w:suppressAutoHyphens w:val="true"/>
        <w:spacing w:before="60" w:after="60"/>
        <w:ind w:left="709" w:hanging="709"/>
        <w:jc w:val="both"/>
        <w:rPr/>
      </w:pPr>
      <w:r>
        <w:rPr>
          <w:rFonts w:eastAsia="Calibri" w:cs="Arial Unicode MS" w:ascii="Liberation Serif" w:hAnsi="Liberation Serif"/>
          <w:bCs/>
          <w:sz w:val="24"/>
          <w:szCs w:val="24"/>
          <w:lang w:val="ru" w:eastAsia="zh-CN" w:bidi="hi-IN"/>
        </w:rPr>
        <w:t>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suppressAutoHyphens w:val="true"/>
        <w:spacing w:before="60" w:after="60"/>
        <w:ind w:left="709" w:hanging="709"/>
        <w:jc w:val="both"/>
        <w:rPr>
          <w:rFonts w:ascii="Liberation Serif" w:hAnsi="Liberation Serif" w:eastAsia="Calibri" w:cs="Arial Unicode MS"/>
          <w:sz w:val="24"/>
          <w:szCs w:val="24"/>
          <w:lang w:val="ru" w:eastAsia="zh-CN" w:bidi="hi-IN"/>
        </w:rPr>
      </w:pPr>
      <w:r>
        <w:rPr>
          <w:rFonts w:eastAsia="Calibri" w:cs="Arial Unicode MS" w:ascii="Liberation Serif" w:hAnsi="Liberation Serif"/>
          <w:sz w:val="24"/>
          <w:szCs w:val="24"/>
          <w:lang w:val="ru" w:eastAsia="zh-CN" w:bidi="hi-IN"/>
        </w:rPr>
      </w:r>
    </w:p>
    <w:p>
      <w:pPr>
        <w:pStyle w:val="ListParagraph"/>
        <w:keepNext w:val="true"/>
        <w:numPr>
          <w:ilvl w:val="0"/>
          <w:numId w:val="9"/>
        </w:numPr>
        <w:suppressAutoHyphens w:val="true"/>
        <w:spacing w:before="240" w:after="240"/>
        <w:contextualSpacing/>
        <w:jc w:val="center"/>
        <w:outlineLvl w:val="0"/>
        <w:rPr>
          <w:b/>
          <w:b/>
          <w:lang w:val="x-none" w:eastAsia="x-none" w:bidi="hi-IN"/>
        </w:rPr>
      </w:pPr>
      <w:bookmarkStart w:id="40" w:name="_Toc222913105"/>
      <w:bookmarkStart w:id="41" w:name="_Toc754465831"/>
      <w:bookmarkStart w:id="42" w:name="_Toc533933121"/>
      <w:bookmarkStart w:id="43" w:name="_Toc1705047201"/>
      <w:bookmarkStart w:id="44" w:name="_Toc1811795441"/>
      <w:bookmarkEnd w:id="40"/>
      <w:bookmarkEnd w:id="41"/>
      <w:bookmarkEnd w:id="42"/>
      <w:bookmarkEnd w:id="43"/>
      <w:bookmarkEnd w:id="44"/>
      <w:r>
        <w:rPr>
          <w:b/>
          <w:lang w:val="x-none" w:eastAsia="x-none" w:bidi="hi-IN"/>
        </w:rPr>
        <w:t>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true"/>
        <w:spacing w:before="60" w:after="60"/>
        <w:ind w:left="709" w:hanging="709"/>
        <w:jc w:val="both"/>
        <w:rPr>
          <w:rFonts w:eastAsia="Calibri"/>
          <w:sz w:val="24"/>
          <w:szCs w:val="24"/>
          <w:lang w:eastAsia="zh-CN" w:bidi="hi-IN"/>
        </w:rPr>
      </w:pPr>
      <w:r>
        <w:rPr>
          <w:rFonts w:eastAsia="Calibri"/>
          <w:bCs/>
          <w:iCs/>
          <w:sz w:val="24"/>
          <w:szCs w:val="24"/>
          <w:lang w:eastAsia="zh-CN" w:bidi="hi-IN"/>
        </w:rPr>
        <w:t>По результатам проведения закупки заключается договор с твердой стоимостью.</w:t>
      </w:r>
    </w:p>
    <w:p>
      <w:pPr>
        <w:pStyle w:val="Normal"/>
        <w:suppressAutoHyphens w:val="true"/>
        <w:spacing w:before="60" w:after="60"/>
        <w:ind w:hanging="0"/>
        <w:jc w:val="both"/>
        <w:rPr>
          <w:rFonts w:eastAsia="Calibri"/>
          <w:bCs/>
          <w:iCs/>
          <w:sz w:val="24"/>
          <w:szCs w:val="24"/>
          <w:lang w:eastAsia="zh-CN" w:bidi="hi-IN"/>
        </w:rPr>
      </w:pPr>
      <w:r>
        <w:rPr/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418" w:right="567" w:header="0" w:top="567" w:footer="737" w:bottom="794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06650496"/>
    </w:sdtPr>
    <w:sdtContent>
      <w:p>
        <w:pPr>
          <w:pStyle w:val="111"/>
          <w:rPr>
            <w:sz w:val="18"/>
            <w:szCs w:val="18"/>
          </w:rPr>
        </w:pPr>
        <w:r>
          <w:rPr>
            <w:sz w:val="18"/>
            <w:szCs w:val="18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Единицей в отношении данной продукции является весь объем оказываемых услуг, соответствующих требованиям, изложенным в разделе 4 настоящего документа.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ind w:left="9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1.%2."/>
      <w:lvlJc w:val="left"/>
      <w:pPr>
        <w:ind w:left="0" w:hanging="0"/>
      </w:pPr>
    </w:lvl>
    <w:lvl w:ilvl="2">
      <w:start w:val="1"/>
      <w:numFmt w:val="decimal"/>
      <w:lvlText w:val="%1.%2.%3."/>
      <w:lvlJc w:val="lef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1.%2."/>
      <w:lvlJc w:val="left"/>
      <w:pPr>
        <w:ind w:left="0" w:hanging="0"/>
      </w:pPr>
    </w:lvl>
    <w:lvl w:ilvl="2">
      <w:start w:val="1"/>
      <w:numFmt w:val="decimal"/>
      <w:lvlText w:val="%1.%2.%3."/>
      <w:lvlJc w:val="lef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1.%2."/>
      <w:lvlJc w:val="left"/>
      <w:pPr>
        <w:ind w:left="0" w:hanging="0"/>
      </w:pPr>
    </w:lvl>
    <w:lvl w:ilvl="2">
      <w:start w:val="1"/>
      <w:numFmt w:val="decimal"/>
      <w:lvlText w:val="%1.%2.%3."/>
      <w:lvlJc w:val="lef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7">
    <w:lvl w:ilvl="0">
      <w:start w:val="1"/>
      <w:numFmt w:val="decimal"/>
      <w:lvlText w:val="%1."/>
      <w:lvlJc w:val="left"/>
      <w:pPr>
        <w:ind w:left="0" w:hanging="0"/>
      </w:pPr>
    </w:lvl>
    <w:lvl w:ilvl="1">
      <w:start w:val="5"/>
      <w:numFmt w:val="decimal"/>
      <w:lvlText w:val="%1.%2."/>
      <w:lvlJc w:val="left"/>
      <w:pPr>
        <w:ind w:left="0" w:hanging="0"/>
      </w:pPr>
    </w:lvl>
    <w:lvl w:ilvl="2">
      <w:start w:val="1"/>
      <w:numFmt w:val="decimal"/>
      <w:lvlText w:val="%1.%2.%3."/>
      <w:lvlJc w:val="lef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lvl w:ilvl="0">
      <w:start w:val="4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1.%2."/>
      <w:lvlJc w:val="left"/>
      <w:pPr>
        <w:ind w:left="0" w:hanging="0"/>
      </w:pPr>
    </w:lvl>
    <w:lvl w:ilvl="2">
      <w:start w:val="1"/>
      <w:numFmt w:val="decimal"/>
      <w:lvlText w:val="%1.%2.%3."/>
      <w:lvlJc w:val="lef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10">
    <w:lvl w:ilvl="0">
      <w:start w:val="3"/>
      <w:numFmt w:val="decimal"/>
      <w:lvlText w:val="%1."/>
      <w:lvlJc w:val="left"/>
      <w:pPr>
        <w:ind w:left="0" w:hanging="0"/>
      </w:pPr>
    </w:lvl>
    <w:lvl w:ilvl="1">
      <w:start w:val="1"/>
      <w:numFmt w:val="decimal"/>
      <w:lvlText w:val="%1.%2."/>
      <w:lvlJc w:val="left"/>
      <w:pPr>
        <w:ind w:left="0" w:hanging="0"/>
      </w:pPr>
    </w:lvl>
    <w:lvl w:ilvl="2">
      <w:start w:val="1"/>
      <w:numFmt w:val="decimal"/>
      <w:lvlText w:val="%1.%2.%3."/>
      <w:lvlJc w:val="lef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defaultTabStop w:val="265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1">
    <w:name w:val="Heading 1"/>
    <w:basedOn w:val="3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4"/>
    <w:qFormat/>
    <w:rsid w:val="00ea61a8"/>
    <w:pPr>
      <w:numPr>
        <w:ilvl w:val="0"/>
        <w:numId w:val="0"/>
      </w:numPr>
      <w:ind w:left="700" w:hanging="700"/>
      <w:outlineLvl w:val="1"/>
    </w:pPr>
    <w:rPr/>
  </w:style>
  <w:style w:type="paragraph" w:styleId="3">
    <w:name w:val="Heading 3"/>
    <w:basedOn w:val="Normal"/>
    <w:link w:val="32"/>
    <w:autoRedefine/>
    <w:qFormat/>
    <w:rsid w:val="000f523b"/>
    <w:pPr>
      <w:keepNext w:val="true"/>
      <w:numPr>
        <w:ilvl w:val="2"/>
        <w:numId w:val="1"/>
      </w:numPr>
      <w:spacing w:before="120" w:after="60"/>
      <w:ind w:left="700" w:hanging="70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5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link w:val="30"/>
    <w:qFormat/>
    <w:rsid w:val="000f523b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7" w:customStyle="1">
    <w:name w:val="Подзаголовок Знак"/>
    <w:link w:val="af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8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9" w:customStyle="1">
    <w:name w:val="Выделенная цитата Знак"/>
    <w:link w:val="aff7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0" w:customStyle="1">
    <w:name w:val="Электронная подпись Знак"/>
    <w:link w:val="afff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4"/>
    <w:qFormat/>
    <w:locked/>
    <w:rsid w:val="00d22f6d"/>
    <w:rPr>
      <w:sz w:val="28"/>
    </w:rPr>
  </w:style>
  <w:style w:type="character" w:styleId="Style11" w:customStyle="1">
    <w:name w:val="Текст сноски Знак"/>
    <w:link w:val="a8"/>
    <w:qFormat/>
    <w:rsid w:val="00d22f6d"/>
    <w:rPr/>
  </w:style>
  <w:style w:type="character" w:styleId="Style12" w:customStyle="1">
    <w:name w:val="Основной текст Знак"/>
    <w:link w:val="af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3" w:customStyle="1">
    <w:name w:val="Абзац списк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styleId="Style14" w:customStyle="1">
    <w:name w:val="комментарий"/>
    <w:qFormat/>
    <w:rsid w:val="0025139e"/>
    <w:rPr>
      <w:i/>
      <w:shd w:fill="FFFF99" w:val="clear"/>
    </w:rPr>
  </w:style>
  <w:style w:type="character" w:styleId="Style15" w:customStyle="1">
    <w:name w:val="Подподпункт Знак"/>
    <w:link w:val="afff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6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7" w:customStyle="1">
    <w:name w:val="Текст примечания Знак"/>
    <w:link w:val="afb"/>
    <w:semiHidden/>
    <w:qFormat/>
    <w:rsid w:val="00dc0f7d"/>
    <w:rPr/>
  </w:style>
  <w:style w:type="character" w:styleId="Style18" w:customStyle="1">
    <w:name w:val="Текст концевой сноски Знак"/>
    <w:basedOn w:val="DefaultParagraphFont"/>
    <w:link w:val="afff9"/>
    <w:qFormat/>
    <w:rsid w:val="003879d4"/>
    <w:rPr/>
  </w:style>
  <w:style w:type="character" w:styleId="Endnotereference">
    <w:name w:val="endnote reference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">
    <w:name w:val="ListLabel 3"/>
    <w:qFormat/>
    <w:rPr>
      <w:b/>
      <w:bCs/>
      <w:i w:val="false"/>
      <w:iCs/>
      <w:sz w:val="24"/>
      <w:szCs w:val="24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b/>
      <w:bCs w:val="false"/>
      <w:sz w:val="24"/>
      <w:szCs w:val="24"/>
    </w:rPr>
  </w:style>
  <w:style w:type="character" w:styleId="ListLabel7">
    <w:name w:val="ListLabel 7"/>
    <w:qFormat/>
    <w:rPr>
      <w:b/>
      <w:bCs/>
      <w:sz w:val="24"/>
      <w:szCs w:val="24"/>
    </w:rPr>
  </w:style>
  <w:style w:type="character" w:styleId="ListLabel8">
    <w:name w:val="ListLabel 8"/>
    <w:qFormat/>
    <w:rPr>
      <w:sz w:val="24"/>
      <w:szCs w:val="24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sz w:val="24"/>
      <w:szCs w:val="24"/>
    </w:rPr>
  </w:style>
  <w:style w:type="character" w:styleId="ListLabel56">
    <w:name w:val="ListLabel 56"/>
    <w:qFormat/>
    <w:rPr>
      <w:b w:val="false"/>
      <w:bCs w:val="false"/>
      <w:i w:val="false"/>
      <w:iCs w:val="false"/>
      <w:sz w:val="24"/>
      <w:szCs w:val="24"/>
      <w:lang w:val="ru-RU"/>
    </w:rPr>
  </w:style>
  <w:style w:type="character" w:styleId="ListLabel57">
    <w:name w:val="ListLabel 57"/>
    <w:qFormat/>
    <w:rPr>
      <w:b w:val="false"/>
      <w:bCs w:val="false"/>
      <w:i w:val="false"/>
      <w:iCs w:val="false"/>
      <w:sz w:val="24"/>
      <w:szCs w:val="24"/>
    </w:rPr>
  </w:style>
  <w:style w:type="character" w:styleId="ListLabel58">
    <w:name w:val="ListLabel 58"/>
    <w:qFormat/>
    <w:rPr>
      <w:b w:val="false"/>
      <w:bCs w:val="false"/>
      <w:i w:val="false"/>
      <w:iCs w:val="false"/>
      <w:sz w:val="24"/>
      <w:szCs w:val="24"/>
    </w:rPr>
  </w:style>
  <w:style w:type="character" w:styleId="ListLabel59">
    <w:name w:val="ListLabel 59"/>
    <w:qFormat/>
    <w:rPr>
      <w:b w:val="false"/>
      <w:bCs w:val="false"/>
      <w:i w:val="false"/>
      <w:iCs w:val="false"/>
      <w:sz w:val="24"/>
      <w:szCs w:val="24"/>
    </w:rPr>
  </w:style>
  <w:style w:type="character" w:styleId="ListLabel60">
    <w:name w:val="ListLabel 60"/>
    <w:qFormat/>
    <w:rPr>
      <w:b w:val="false"/>
      <w:bCs w:val="false"/>
      <w:i w:val="false"/>
      <w:iCs w:val="false"/>
      <w:sz w:val="24"/>
      <w:szCs w:val="24"/>
    </w:rPr>
  </w:style>
  <w:style w:type="character" w:styleId="ListLabel61">
    <w:name w:val="ListLabel 61"/>
    <w:qFormat/>
    <w:rPr>
      <w:b w:val="false"/>
      <w:bCs w:val="false"/>
      <w:i w:val="false"/>
      <w:iCs w:val="false"/>
      <w:sz w:val="24"/>
      <w:szCs w:val="24"/>
    </w:rPr>
  </w:style>
  <w:style w:type="character" w:styleId="ListLabel62">
    <w:name w:val="ListLabel 62"/>
    <w:qFormat/>
    <w:rPr>
      <w:b w:val="false"/>
      <w:bCs w:val="false"/>
      <w:i w:val="false"/>
      <w:iCs w:val="false"/>
      <w:sz w:val="24"/>
      <w:szCs w:val="24"/>
    </w:rPr>
  </w:style>
  <w:style w:type="character" w:styleId="ListLabel63">
    <w:name w:val="ListLabel 63"/>
    <w:qFormat/>
    <w:rPr>
      <w:b w:val="false"/>
      <w:bCs w:val="false"/>
      <w:i w:val="false"/>
      <w:iCs w:val="false"/>
      <w:sz w:val="24"/>
      <w:szCs w:val="24"/>
    </w:rPr>
  </w:style>
  <w:style w:type="character" w:styleId="ListLabel64">
    <w:name w:val="ListLabel 64"/>
    <w:qFormat/>
    <w:rPr>
      <w:b w:val="false"/>
      <w:bCs w:val="false"/>
      <w:i w:val="false"/>
      <w:iCs w:val="false"/>
      <w:sz w:val="24"/>
      <w:szCs w:val="24"/>
    </w:rPr>
  </w:style>
  <w:style w:type="character" w:styleId="ListLabel65">
    <w:name w:val="ListLabel 65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66">
    <w:name w:val="ListLabel 66"/>
    <w:qFormat/>
    <w:rPr>
      <w:b/>
      <w:bCs/>
      <w:i w:val="false"/>
      <w:iCs/>
      <w:sz w:val="24"/>
      <w:szCs w:val="24"/>
    </w:rPr>
  </w:style>
  <w:style w:type="character" w:styleId="ListLabel67">
    <w:name w:val="ListLabel 67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68">
    <w:name w:val="ListLabel 68"/>
    <w:qFormat/>
    <w:rPr>
      <w:b/>
      <w:bCs/>
      <w:i w:val="false"/>
      <w:iCs/>
      <w:sz w:val="24"/>
      <w:szCs w:val="24"/>
    </w:rPr>
  </w:style>
  <w:style w:type="character" w:styleId="ListLabel69">
    <w:name w:val="ListLabel 69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0">
    <w:name w:val="ListLabel 70"/>
    <w:qFormat/>
    <w:rPr>
      <w:b/>
      <w:bCs/>
      <w:i w:val="false"/>
      <w:iCs/>
      <w:sz w:val="24"/>
      <w:szCs w:val="24"/>
    </w:rPr>
  </w:style>
  <w:style w:type="character" w:styleId="ListLabel71">
    <w:name w:val="ListLabel 7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2">
    <w:name w:val="ListLabel 72"/>
    <w:qFormat/>
    <w:rPr>
      <w:b/>
      <w:bCs/>
      <w:i w:val="false"/>
      <w:iCs/>
      <w:sz w:val="24"/>
      <w:szCs w:val="24"/>
    </w:rPr>
  </w:style>
  <w:style w:type="character" w:styleId="ListLabel73">
    <w:name w:val="ListLabel 73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4">
    <w:name w:val="ListLabel 74"/>
    <w:qFormat/>
    <w:rPr>
      <w:b/>
      <w:bCs/>
      <w:i w:val="false"/>
      <w:iCs/>
      <w:sz w:val="24"/>
      <w:szCs w:val="24"/>
    </w:rPr>
  </w:style>
  <w:style w:type="character" w:styleId="ListLabel75">
    <w:name w:val="ListLabel 75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6">
    <w:name w:val="ListLabel 76"/>
    <w:qFormat/>
    <w:rPr>
      <w:b/>
      <w:bCs/>
      <w:i w:val="false"/>
      <w:iCs/>
      <w:sz w:val="24"/>
      <w:szCs w:val="24"/>
    </w:rPr>
  </w:style>
  <w:style w:type="character" w:styleId="ListLabel77">
    <w:name w:val="ListLabel 77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78">
    <w:name w:val="ListLabel 78"/>
    <w:qFormat/>
    <w:rPr>
      <w:b/>
      <w:bCs/>
      <w:i w:val="false"/>
      <w:iCs/>
      <w:sz w:val="24"/>
      <w:szCs w:val="24"/>
    </w:rPr>
  </w:style>
  <w:style w:type="character" w:styleId="Style19">
    <w:name w:val="Ссылка указателя"/>
    <w:qFormat/>
    <w:rPr/>
  </w:style>
  <w:style w:type="character" w:styleId="Style20">
    <w:name w:val="Символ сноски"/>
    <w:qFormat/>
    <w:rPr/>
  </w:style>
  <w:style w:type="character" w:styleId="Style21">
    <w:name w:val="Привязка сноски"/>
    <w:rPr>
      <w:vertAlign w:val="superscript"/>
    </w:rPr>
  </w:style>
  <w:style w:type="character" w:styleId="Instancename">
    <w:name w:val="instancename"/>
    <w:basedOn w:val="DefaultParagraphFont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ы концевой сноски"/>
    <w:qFormat/>
    <w:rPr/>
  </w:style>
  <w:style w:type="character" w:styleId="WWCharLFO27LVL1">
    <w:name w:val="WW_CharLFO27LVL1"/>
    <w:qFormat/>
    <w:rPr>
      <w:rFonts w:ascii="Calibri" w:hAnsi="Calibri"/>
    </w:rPr>
  </w:style>
  <w:style w:type="character" w:styleId="WWCharLFO27LVL2">
    <w:name w:val="WW_CharLFO27LVL2"/>
    <w:qFormat/>
    <w:rPr>
      <w:sz w:val="24"/>
    </w:rPr>
  </w:style>
  <w:style w:type="character" w:styleId="WWCharLFO27LVL3">
    <w:name w:val="WW_CharLFO27LVL3"/>
    <w:qFormat/>
    <w:rPr>
      <w:sz w:val="24"/>
    </w:rPr>
  </w:style>
  <w:style w:type="character" w:styleId="WWCharLFO27LVL4">
    <w:name w:val="WW_CharLFO27LVL4"/>
    <w:qFormat/>
    <w:rPr>
      <w:sz w:val="24"/>
    </w:rPr>
  </w:style>
  <w:style w:type="character" w:styleId="WWCharLFO27LVL5">
    <w:name w:val="WW_CharLFO27LVL5"/>
    <w:qFormat/>
    <w:rPr>
      <w:sz w:val="24"/>
    </w:rPr>
  </w:style>
  <w:style w:type="character" w:styleId="WWCharLFO27LVL6">
    <w:name w:val="WW_CharLFO27LVL6"/>
    <w:qFormat/>
    <w:rPr>
      <w:sz w:val="24"/>
    </w:rPr>
  </w:style>
  <w:style w:type="character" w:styleId="WWCharLFO27LVL7">
    <w:name w:val="WW_CharLFO27LVL7"/>
    <w:qFormat/>
    <w:rPr>
      <w:sz w:val="24"/>
    </w:rPr>
  </w:style>
  <w:style w:type="character" w:styleId="WWCharLFO27LVL8">
    <w:name w:val="WW_CharLFO27LVL8"/>
    <w:qFormat/>
    <w:rPr>
      <w:sz w:val="24"/>
    </w:rPr>
  </w:style>
  <w:style w:type="character" w:styleId="WWCharLFO27LVL9">
    <w:name w:val="WW_CharLFO27LVL9"/>
    <w:qFormat/>
    <w:rPr>
      <w:sz w:val="24"/>
    </w:rPr>
  </w:style>
  <w:style w:type="character" w:styleId="Style24">
    <w:name w:val="Основной шрифт абзаца"/>
    <w:qFormat/>
    <w:rPr/>
  </w:style>
  <w:style w:type="character" w:styleId="ListLabel79">
    <w:name w:val="ListLabel 79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80">
    <w:name w:val="ListLabel 80"/>
    <w:qFormat/>
    <w:rPr>
      <w:b/>
      <w:bCs/>
      <w:i w:val="false"/>
      <w:iCs/>
      <w:sz w:val="24"/>
      <w:szCs w:val="24"/>
    </w:rPr>
  </w:style>
  <w:style w:type="character" w:styleId="ListLabel81">
    <w:name w:val="ListLabel 8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82">
    <w:name w:val="ListLabel 82"/>
    <w:qFormat/>
    <w:rPr>
      <w:b/>
      <w:bCs/>
      <w:i w:val="false"/>
      <w:iCs/>
      <w:sz w:val="24"/>
      <w:szCs w:val="24"/>
    </w:rPr>
  </w:style>
  <w:style w:type="character" w:styleId="ListLabel83">
    <w:name w:val="ListLabel 83"/>
    <w:qFormat/>
    <w:rPr>
      <w:b/>
      <w:bCs w:val="false"/>
      <w:sz w:val="24"/>
      <w:szCs w:val="24"/>
    </w:rPr>
  </w:style>
  <w:style w:type="character" w:styleId="ListLabel84">
    <w:name w:val="ListLabel 84"/>
    <w:qFormat/>
    <w:rPr>
      <w:b/>
      <w:bCs/>
      <w:sz w:val="24"/>
      <w:szCs w:val="24"/>
    </w:rPr>
  </w:style>
  <w:style w:type="character" w:styleId="ListLabel85">
    <w:name w:val="ListLabel 85"/>
    <w:qFormat/>
    <w:rPr>
      <w:sz w:val="24"/>
      <w:szCs w:val="24"/>
    </w:rPr>
  </w:style>
  <w:style w:type="character" w:styleId="ListLabel86">
    <w:name w:val="ListLabel 86"/>
    <w:qFormat/>
    <w:rPr>
      <w:sz w:val="20"/>
      <w:szCs w:val="20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6">
    <w:name w:val="Body Text"/>
    <w:basedOn w:val="Normal"/>
    <w:link w:val="af2"/>
    <w:rsid w:val="0076353a"/>
    <w:pPr>
      <w:spacing w:before="0" w:after="12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Style3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link w:val="a9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3">
    <w:name w:val="Header"/>
    <w:basedOn w:val="Normal"/>
    <w:link w:val="ad"/>
    <w:uiPriority w:val="99"/>
    <w:rsid w:val="0076353a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4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5">
    <w:name w:val="Footer"/>
    <w:basedOn w:val="Normal"/>
    <w:rsid w:val="0076353a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6" w:customStyle="1">
    <w:name w:val="Подпункт"/>
    <w:basedOn w:val="Normal"/>
    <w:link w:val="15"/>
    <w:qFormat/>
    <w:rsid w:val="0076353a"/>
    <w:pPr>
      <w:tabs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4">
    <w:name w:val="TOC 3"/>
    <w:basedOn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7" w:customStyle="1">
    <w:name w:val="Раздел регламента"/>
    <w:basedOn w:val="Normal"/>
    <w:qFormat/>
    <w:rsid w:val="00e228fa"/>
    <w:pPr/>
    <w:rPr/>
  </w:style>
  <w:style w:type="paragraph" w:styleId="Style3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c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autoRedefine/>
    <w:uiPriority w:val="39"/>
    <w:rsid w:val="006b6b70"/>
    <w:pPr>
      <w:tabs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0">
    <w:name w:val="Subtitle"/>
    <w:basedOn w:val="Normal"/>
    <w:link w:val="aff3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aff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60"/>
      <w:ind w:left="700" w:hanging="70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0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6" w:customStyle="1">
    <w:name w:val="List Bullet 4"/>
    <w:basedOn w:val="Normal"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8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2" w:customStyle="1">
    <w:name w:val="Пункт"/>
    <w:basedOn w:val="Normal"/>
    <w:qFormat/>
    <w:rsid w:val="00d22f6d"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5" w:customStyle="1">
    <w:name w:val="Подподпункт"/>
    <w:basedOn w:val="Style36"/>
    <w:link w:val="afff8"/>
    <w:qFormat/>
    <w:rsid w:val="0025139e"/>
    <w:pPr>
      <w:tabs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6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7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8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48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afffa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4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1" w:customStyle="1">
    <w:name w:val="Нижний колонтитул1"/>
    <w:basedOn w:val="Normal"/>
    <w:uiPriority w:val="99"/>
    <w:qFormat/>
    <w:rsid w:val="003e7e28"/>
    <w:pPr>
      <w:tabs>
        <w:tab w:val="center" w:pos="4677" w:leader="none"/>
        <w:tab w:val="right" w:pos="9355" w:leader="none"/>
      </w:tabs>
      <w:suppressAutoHyphens w:val="true"/>
    </w:pPr>
    <w:rPr/>
  </w:style>
  <w:style w:type="paragraph" w:styleId="Style50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3e7e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B5BD-6084-4FFA-AA66-B4D4EA3D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LibreOffice/5.3.6.1$Linux_X86_64 LibreOffice_project/30$Build-1</Application>
  <Pages>9</Pages>
  <Words>1403</Words>
  <Characters>9510</Characters>
  <CharactersWithSpaces>10630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2026-07-01T07:46:00Z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2026-07-03T11:16:10Z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