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31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79"/>
        <w:gridCol w:w="6790"/>
      </w:tblGrid>
      <w:tr>
        <w:trPr/>
        <w:tc>
          <w:tcPr>
            <w:tcW w:w="6379" w:type="dxa"/>
            <w:tcBorders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0" w:type="dxa"/>
            <w:tcBorders/>
          </w:tcPr>
          <w:p>
            <w:pPr>
              <w:pStyle w:val="Normal"/>
              <w:widowControl w:val="false"/>
              <w:ind w:left="5067" w:hanging="50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Heading2"/>
        <w:numPr>
          <w:ilvl w:val="0"/>
        </w:numPr>
        <w:shd w:val="clear" w:color="auto" w:fill="FFFFFF"/>
        <w:tabs>
          <w:tab w:val="clear" w:pos="0"/>
        </w:tabs>
        <w:spacing w:before="0" w:after="0"/>
        <w:ind w:left="432" w:hanging="0"/>
        <w:jc w:val="center"/>
        <w:textAlignment w:val="baseline"/>
        <w:rPr>
          <w:b w:val="false"/>
          <w:i/>
          <w:i/>
          <w:sz w:val="26"/>
          <w:szCs w:val="26"/>
        </w:rPr>
      </w:pPr>
      <w:r>
        <w:rPr/>
        <w:t xml:space="preserve">ОКПД2 27.33.13.190 Поставка выключателей вакуумных </w:t>
      </w:r>
      <w:r>
        <w:rPr>
          <w:i/>
          <w:sz w:val="26"/>
          <w:szCs w:val="26"/>
          <w:lang w:val="ru-RU"/>
        </w:rPr>
        <w:t xml:space="preserve">(аварийный запас) </w:t>
      </w:r>
    </w:p>
    <w:p>
      <w:pPr>
        <w:pStyle w:val="Normal"/>
        <w:keepNext w:val="true"/>
        <w:keepLines/>
        <w:tabs>
          <w:tab w:val="clear" w:pos="709"/>
          <w:tab w:val="left" w:pos="247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fldChar w:fldCharType="separate"/>
          </w:r>
          <w:r>
            <w:rPr>
              <w:rFonts w:eastAsia="新細明體" w:cs="Arial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942491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1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1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1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использования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1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942492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9424925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942492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9424929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942493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Требования к документации по ценообразованию на этапе </w:t>
            </w:r>
            <w:r>
              <w:rPr>
                <w:rStyle w:val="Style14"/>
                <w:iCs/>
              </w:rPr>
              <w:t>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9424933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_Toc159424933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приложений к ТТ:</w:t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highlight w:val="yellow"/>
        </w:rPr>
      </w:pPr>
      <w:r>
        <w:rPr>
          <w:rFonts w:eastAsia="Calibri"/>
          <w:b/>
          <w:i/>
          <w:sz w:val="24"/>
          <w:szCs w:val="24"/>
          <w:highlight w:val="yellow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942491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15942491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i/>
                <w:sz w:val="24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eastAsia="Calibri"/>
                <w:i/>
                <w:i/>
                <w:sz w:val="24"/>
                <w:szCs w:val="26"/>
              </w:rPr>
            </w:pPr>
            <w:r>
              <w:rPr>
                <w:rFonts w:eastAsia="Calibri"/>
                <w:i/>
                <w:sz w:val="24"/>
                <w:szCs w:val="26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филиал ПАО «РусГидро» - «Саяно-Шушенская ГЭС имени П.С. Непорожнего»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159424918"/>
      <w:r>
        <w:rPr/>
        <w:t>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eastAsia="Calibri"/>
          <w:sz w:val="26"/>
          <w:szCs w:val="26"/>
        </w:rPr>
      </w:pPr>
      <w:r>
        <w:rPr>
          <w:rFonts w:eastAsia="Calibri"/>
          <w:i/>
          <w:sz w:val="24"/>
          <w:szCs w:val="24"/>
          <w:lang w:eastAsia="x-none"/>
        </w:rPr>
        <w:tab/>
      </w:r>
      <w:r>
        <w:rPr>
          <w:rFonts w:eastAsia="Calibri"/>
          <w:sz w:val="24"/>
          <w:szCs w:val="26"/>
        </w:rPr>
        <w:t xml:space="preserve">Выключатели </w:t>
      </w:r>
      <w:r>
        <w:rPr>
          <w:rFonts w:eastAsia="Calibri"/>
          <w:sz w:val="24"/>
          <w:szCs w:val="26"/>
          <w:lang w:val="en-US"/>
        </w:rPr>
        <w:t>вакуумные</w:t>
      </w:r>
      <w:r>
        <w:rPr>
          <w:rFonts w:eastAsia="Calibri"/>
          <w:sz w:val="24"/>
          <w:szCs w:val="26"/>
        </w:rPr>
        <w:t xml:space="preserve"> (аварийный запас)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59424919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  <w:r>
        <w:rPr>
          <w:lang w:val="ru-RU"/>
        </w:rPr>
        <w:t xml:space="preserve">. </w:t>
      </w:r>
      <w:bookmarkStart w:id="7" w:name="_Toc46743508_Копия_1"/>
      <w:bookmarkStart w:id="8" w:name="_Toc159424920_Копия_1"/>
      <w:r>
        <w:rPr>
          <w:lang w:val="ru-RU"/>
        </w:rPr>
        <w:t>Существующее положение</w:t>
      </w:r>
      <w:bookmarkEnd w:id="7"/>
      <w:bookmarkEnd w:id="8"/>
      <w:r>
        <w:rPr>
          <w:lang w:val="ru-RU"/>
        </w:rPr>
        <w:t xml:space="preserve">.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Восполнение аварийного запаса Филиала.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В соответствии с п. 41 "Правил организации технического обслуживания и ремонта объектов электроэнергетики"1, субъекты электроэнергетики должны создавать, поддерживать и содержать в исправном состоянии аварийный запас оборудования, запасных частей и материалов для устранения последствий аварий и технологических нарушений (отказов, неисправностей), возникающих в процессе эксплуатации, с целью минимизации материального ущерба за счет сокращения времени обеспечения МТР, необходимых для восстановительных работ.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eastAsia="Calibri"/>
          <w:sz w:val="24"/>
          <w:szCs w:val="26"/>
        </w:rPr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FFFFFF" w:val="clear"/>
        </w:rPr>
        <w:t xml:space="preserve">Предметом закупки является выключатель для находящегося в эксплуатации </w:t>
      </w:r>
      <w:r>
        <w:rPr>
          <w:rStyle w:val="Style8"/>
          <w:rFonts w:eastAsia="Calibri"/>
          <w:b w:val="false"/>
          <w:bCs/>
          <w:i w:val="false"/>
          <w:sz w:val="24"/>
          <w:szCs w:val="26"/>
          <w:shd w:fill="FFFFFF" w:val="clear"/>
        </w:rPr>
        <w:t>щитов 6кВ Р1-Р3.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FFFFFF" w:val="clear"/>
        </w:rPr>
        <w:t xml:space="preserve"> Указанные выключатели не предназначены для незамедлительного монтажа и замены, при этом, в случае аварийной ситуации они должны быть установлены взамен поврежденных элементов в кратчайшие сроки, что возможно только при полном соответствии габаритов выключателей с установочном местом </w:t>
      </w:r>
      <w:r>
        <w:rPr>
          <w:rStyle w:val="Style8"/>
          <w:rFonts w:eastAsia="Calibri"/>
          <w:b w:val="false"/>
          <w:bCs/>
          <w:i w:val="false"/>
          <w:sz w:val="24"/>
          <w:szCs w:val="26"/>
          <w:shd w:fill="FFFFFF" w:val="clear"/>
        </w:rPr>
        <w:t>щитов 6кВ Р1-Р3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FFFFFF" w:val="clear"/>
        </w:rPr>
        <w:t>.</w:t>
      </w:r>
      <w:r>
        <w:rPr>
          <w:rFonts w:eastAsia="Calibri"/>
          <w:sz w:val="24"/>
          <w:szCs w:val="26"/>
        </w:rPr>
        <w:tab/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</w:r>
    </w:p>
    <w:p>
      <w:pPr>
        <w:pStyle w:val="Heading4"/>
        <w:numPr>
          <w:ilvl w:val="1"/>
          <w:numId w:val="3"/>
        </w:numPr>
        <w:rPr/>
      </w:pPr>
      <w:bookmarkStart w:id="9" w:name="_Hlk49857604"/>
      <w:bookmarkStart w:id="10" w:name="_Toc46743509"/>
      <w:bookmarkStart w:id="11" w:name="_Toc159424921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  <w:bookmarkEnd w:id="10"/>
      <w:bookmarkEnd w:id="11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tab/>
        <w:t>В соответствии с условиями договора.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159424922"/>
      <w:bookmarkStart w:id="15" w:name="_Hlk48209761"/>
      <w:bookmarkEnd w:id="15"/>
      <w:r>
        <w:rPr>
          <w:iCs/>
        </w:rPr>
        <w:t>Требования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6" w:name="_Toc15942492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159424924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159424925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102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2"/>
        <w:gridCol w:w="5138"/>
        <w:gridCol w:w="2840"/>
        <w:gridCol w:w="1416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Выключатель вакуумный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Выключатель вакуумный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159424926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159424927"/>
      <w:bookmarkStart w:id="23" w:name="_Toc50125127"/>
      <w:bookmarkStart w:id="24" w:name="_Toc51339697"/>
      <w:bookmarkStart w:id="25" w:name="_Toc50125126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3828"/>
        <w:gridCol w:w="2416"/>
        <w:gridCol w:w="2400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Выключатель вакуумный </w:t>
            </w:r>
            <w:r>
              <w:rPr>
                <w:sz w:val="20"/>
                <w:szCs w:val="20"/>
                <w:lang w:val="en-US"/>
              </w:rPr>
              <w:t>VD</w:t>
            </w:r>
            <w:r>
              <w:rPr>
                <w:sz w:val="20"/>
                <w:szCs w:val="20"/>
              </w:rPr>
              <w:t>4 12.12.20 р=150мм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даты, следующей за датой заключения договора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позднее 01.12.2026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Выключатель вакуумный </w:t>
            </w:r>
            <w:r>
              <w:rPr>
                <w:sz w:val="20"/>
                <w:szCs w:val="20"/>
                <w:lang w:val="en-US"/>
              </w:rPr>
              <w:t>VD</w:t>
            </w:r>
            <w:r>
              <w:rPr>
                <w:sz w:val="20"/>
                <w:szCs w:val="20"/>
              </w:rPr>
              <w:t>4 12.12.20 р=210мм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даты, следующей за датой заключения договора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позднее 01.12.2026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8" w:name="_Toc51339698"/>
      <w:bookmarkStart w:id="29" w:name="_Toc159424928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2.2.1 </w:t>
      </w:r>
      <w:r>
        <w:rPr>
          <w:b w:val="false"/>
          <w:sz w:val="24"/>
          <w:szCs w:val="20"/>
          <w:lang w:val="ru-RU"/>
        </w:rPr>
        <w:t>Указанные в настоящем ТТ ссылки на ТУ, марку (тип) продукции носят описательный, а не обязательный характер.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эквивалентности».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1" w:name="_Toc15942492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Наименование продукции: (в соответствии с пунктами 1-2 таблицы 2.1.) </w:t>
      </w:r>
      <w:r>
        <w:rPr>
          <w:rFonts w:eastAsia="Calibri"/>
          <w:sz w:val="24"/>
          <w:szCs w:val="26"/>
          <w:lang w:eastAsia="x-none"/>
        </w:rPr>
        <w:t xml:space="preserve">Выключатели </w:t>
      </w:r>
      <w:r>
        <w:rPr>
          <w:rFonts w:eastAsia="Calibri"/>
          <w:sz w:val="24"/>
          <w:szCs w:val="26"/>
          <w:lang w:val="en-US" w:eastAsia="x-none"/>
        </w:rPr>
        <w:t>вакуумные.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Style w:val="affff6"/>
        <w:tblW w:w="146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2693"/>
        <w:gridCol w:w="3261"/>
        <w:gridCol w:w="2268"/>
        <w:gridCol w:w="3545"/>
        <w:gridCol w:w="1841"/>
        <w:gridCol w:w="13"/>
      </w:tblGrid>
      <w:tr>
        <w:trPr/>
        <w:tc>
          <w:tcPr>
            <w:tcW w:w="99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82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82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382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2303" w:leader="none"/>
              </w:tabs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766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Выключатель вакуумный VD4 12.12.20 р=150мм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Дугогасящая среда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вакуум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10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12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 отключения,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ток, 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электродинамической стойкости,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Начальное действующее значение периодической составляющей,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Среднеквадратичное значение тока за время его протекания 3 с (ток термической стойкости),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Электрическая прочность изоляции главных цепей: Напряжение промышленной частоты,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Электрическая прочность изоляции главных цепей: Напряжение полного импульса,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Межполюсное расстояние, мм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привода выключателя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ELI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 выключателя, не более, кг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75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электропривода выключателя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либо эквивалент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 тока электропривода выключателя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Постоянный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цепи привода выключателя, 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MBOI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либо эквивалент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 тока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постоянный/переменный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электромагнита включения привода, 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220…250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Механический ресурс, циклы «В-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-О», не менее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MB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либо эквивалент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 тока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постоянный/переменный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электромагнита включения привода, 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220…250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Исполнение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выкатное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Габаритные размеры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Габаритные размеры должны соответствовать указанным в Приложении №1 к ТТ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чертеж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1.2.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Выключатель вакуумный VD4 12.12.20 р=210мм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Дугогасящая среда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вакуум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10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12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 отключения,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ток, 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электродинамической стойкости,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Начальное действующее значение периодической составляющей,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Среднеквадратичное значение тока за время его протекания 3 с (ток термической стойкости), кА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Электрическая прочность изоляции главных цепей: Напряжение промышленной частоты,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Электрическая прочность изоляции главных цепей: Напряжение полного импульса, кВ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Межполюсное расстояние, мм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210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привода выключателя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ELI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 выключателя, не более, кг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75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электропривода выключателя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либо эквивалент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 тока электропривода выключателя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Постоянный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цепи привода выключателя, 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MBOI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либо эквивалент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 тока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постоянный/переменный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электромагнита включения привода, 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220…250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Механический ресурс, циклы «В-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-О», не менее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MB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либо эквивалент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Род тока электромагнита включения привода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постоянный/переменный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электромагнита включения привода, В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220…250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Исполнение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выкатное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(технического паспорта)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4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Габаритные размеры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Габаритные размеры должны соответствовать указанным в Приложении №1 к ТТ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(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чертеж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Республика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Хакасия, г. Саяногорск, рп. Черемушки, 106.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2" w:name="_Toc159424930"/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Подтверждение в формате предложения участника</w:t>
            </w:r>
            <w:bookmarkEnd w:id="32"/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84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i/>
                <w:i/>
                <w:lang w:val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Условия транспортировки Товара: погрузка и доставка до склада Покупателя осуществляется силами и средствами Поставщика. Поставщик несет все расходы и риски, связанные с доставкой до места поставки.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bookmarkStart w:id="33" w:name="_Toc159424931"/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Подтверждение в формате предложения участника</w:t>
            </w:r>
            <w:bookmarkEnd w:id="33"/>
          </w:p>
        </w:tc>
        <w:tc>
          <w:tcPr>
            <w:tcW w:w="184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Требования к маркировке, упаковке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Упаковка должна обеспечивать полную сохранность и защиту от повреждения Товара на весь срок его транспортировки любым средством транспорта с учетом перегрузок и длительного хранения в течение гарантийного срока хранения. Товар поставляется в таре завода-изготовителя.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Тара и упаковка Поставщику не возвращаются.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маркировке МТЗ, поступающих на склады Филиала:</w:t>
            </w:r>
          </w:p>
          <w:p>
            <w:pPr>
              <w:pStyle w:val="BodyText"/>
              <w:widowControl w:val="false"/>
              <w:numPr>
                <w:ilvl w:val="1"/>
                <w:numId w:val="9"/>
              </w:numPr>
              <w:tabs>
                <w:tab w:val="clear" w:pos="709"/>
                <w:tab w:val="left" w:pos="313" w:leader="none"/>
                <w:tab w:val="left" w:pos="1153" w:leader="none"/>
              </w:tabs>
              <w:suppressAutoHyphens w:val="true"/>
              <w:spacing w:before="0" w:after="0"/>
              <w:ind w:left="20" w:right="200" w:hanging="2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Маркировка МТЗ должна быть достоверной, читаемой и доступной для осмотра и идентификации, обладать износостойкостью.</w:t>
            </w:r>
          </w:p>
          <w:p>
            <w:pPr>
              <w:pStyle w:val="BodyText"/>
              <w:widowControl w:val="false"/>
              <w:numPr>
                <w:ilvl w:val="1"/>
                <w:numId w:val="9"/>
              </w:numPr>
              <w:tabs>
                <w:tab w:val="clear" w:pos="709"/>
                <w:tab w:val="left" w:pos="313" w:leader="none"/>
                <w:tab w:val="left" w:pos="1153" w:leader="none"/>
              </w:tabs>
              <w:suppressAutoHyphens w:val="true"/>
              <w:spacing w:before="0" w:after="0"/>
              <w:ind w:left="20" w:right="200" w:hanging="2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Маркировка наносится силами Поставщика на грузовое место или корпусы оборудования, поставляемого без заводской упаковки, с применением индивидуального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QR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- кода.</w:t>
            </w:r>
          </w:p>
          <w:p>
            <w:pPr>
              <w:pStyle w:val="BodyText"/>
              <w:widowControl w:val="false"/>
              <w:numPr>
                <w:ilvl w:val="1"/>
                <w:numId w:val="9"/>
              </w:numPr>
              <w:tabs>
                <w:tab w:val="clear" w:pos="709"/>
                <w:tab w:val="left" w:pos="313" w:leader="none"/>
                <w:tab w:val="left" w:pos="1147" w:leader="none"/>
              </w:tabs>
              <w:suppressAutoHyphens w:val="true"/>
              <w:spacing w:before="0" w:after="0"/>
              <w:ind w:left="20" w:hanging="2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QR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- код должен содержать следующую обязательную информацию: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0"/>
              <w:ind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МТЗ (в случае поставки не сборного груза);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0"/>
              <w:ind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Поставщика;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0"/>
              <w:ind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номер, дата Договора в рамках которого осуществляется поставка;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0"/>
              <w:ind w:right="200"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Контактные данные ответственного исполнителя по Договору от Филиала;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0"/>
              <w:ind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условия хранения (теплый/холодный склад, уличное хранение);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5"/>
              <w:ind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дату изготовления;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455" w:leader="none"/>
              </w:tabs>
              <w:suppressAutoHyphens w:val="true"/>
              <w:spacing w:before="0" w:after="0"/>
              <w:ind w:right="200" w:firstLine="3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срок хранения. В случае если срок хранения на МТЗ не установлен, указывается «срок хранения не ограничен».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Наносимая маркировка и информация должны быть представлены на русском языке.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 столбце 4 Участник должен подтвердить выполнение данного требования.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x-none" w:bidi="ar-SA"/>
              </w:rPr>
              <w:t>Подтверждение в формате предложения участника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382" w:hanging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2.3.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Приемка Товара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 соответствии с условиями договора.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Подтверждение в формате предложения участника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34" w:hRule="atLeast"/>
        </w:trPr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В соответствии с гарантиями производителя, но не менее 36 </w:t>
            </w:r>
            <w:bookmarkStart w:id="34" w:name="_GoBack"/>
            <w:bookmarkEnd w:id="34"/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месяцев с даты подписания Накладной ТОРГ-12/УПД на поставленный Товар.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Подтверждение в формате предложения участника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382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 и пр.;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ru-RU" w:bidi="ar-SA"/>
              </w:rPr>
              <w:t>Накладн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ru-RU" w:bidi="ar-SA"/>
              </w:rPr>
              <w:t>ую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ru-RU" w:bidi="ar-SA"/>
              </w:rPr>
              <w:t xml:space="preserve"> ТОРГ-12/УПД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в 2 экз.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Подтверждение в формате предложения участника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35" w:name="_Toc54279844"/>
      <w:bookmarkStart w:id="36" w:name="_Toc54785625"/>
      <w:bookmarkStart w:id="37" w:name="_Toc159424932"/>
      <w:r>
        <w:rPr/>
        <w:t>Требования к документации по</w:t>
      </w:r>
      <w:r>
        <w:rPr>
          <w:lang w:val="ru-RU"/>
        </w:rPr>
        <w:t xml:space="preserve"> </w:t>
      </w:r>
      <w:r>
        <w:rPr/>
        <w:t xml:space="preserve">ценообразованию на этапе </w:t>
      </w:r>
      <w:r>
        <w:rPr>
          <w:iCs/>
        </w:rPr>
        <w:t>закупки</w:t>
      </w:r>
      <w:bookmarkEnd w:id="35"/>
      <w:bookmarkEnd w:id="36"/>
      <w:bookmarkEnd w:id="37"/>
    </w:p>
    <w:p>
      <w:pPr>
        <w:pStyle w:val="Normal"/>
        <w:numPr>
          <w:ilvl w:val="0"/>
          <w:numId w:val="12"/>
        </w:numPr>
        <w:spacing w:before="0" w:after="120"/>
        <w:jc w:val="both"/>
        <w:rPr>
          <w:b/>
          <w:bCs/>
          <w:i/>
          <w:i/>
          <w:iCs/>
          <w:sz w:val="24"/>
          <w:szCs w:val="24"/>
          <w:lang w:val="x-none" w:eastAsia="x-none"/>
        </w:rPr>
      </w:pPr>
      <w:r>
        <w:rPr>
          <w:b/>
          <w:bCs/>
          <w:i/>
          <w:iCs/>
          <w:sz w:val="24"/>
          <w:szCs w:val="24"/>
          <w:lang w:eastAsia="x-none"/>
        </w:rPr>
        <w:t>Требования к документации по ценообразованию на этапе закупки.</w:t>
      </w:r>
    </w:p>
    <w:p>
      <w:pPr>
        <w:pStyle w:val="Normal"/>
        <w:numPr>
          <w:ilvl w:val="1"/>
          <w:numId w:val="12"/>
        </w:numPr>
        <w:suppressAutoHyphens w:val="false"/>
        <w:spacing w:before="0" w:after="120"/>
        <w:jc w:val="both"/>
        <w:rPr>
          <w:bCs/>
          <w:i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8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8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2"/>
        </w:numPr>
        <w:spacing w:before="0" w:after="120"/>
        <w:jc w:val="both"/>
        <w:rPr>
          <w:bCs/>
          <w:i/>
          <w:i/>
          <w:iCs/>
          <w:sz w:val="24"/>
          <w:szCs w:val="24"/>
          <w:lang w:eastAsia="x-none"/>
        </w:rPr>
      </w:pPr>
      <w:bookmarkStart w:id="39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9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spacing w:before="0" w:after="120"/>
        <w:rPr>
          <w:i/>
          <w:i/>
          <w:iCs/>
          <w:sz w:val="24"/>
          <w:szCs w:val="24"/>
          <w:highlight w:val="yellow"/>
          <w:shd w:fill="FFFF99" w:val="clear"/>
        </w:rPr>
      </w:pPr>
      <w:r>
        <w:rPr>
          <w:i/>
          <w:iCs/>
          <w:sz w:val="24"/>
          <w:szCs w:val="24"/>
          <w:highlight w:val="yellow"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0" w:name="_Toc103692591"/>
      <w:bookmarkStart w:id="41" w:name="_Toc157774106"/>
      <w:bookmarkStart w:id="42" w:name="_Toc159424933"/>
      <w:r>
        <w:rPr/>
        <w:t>Перечень приложений к ТТ:</w:t>
      </w:r>
      <w:bookmarkEnd w:id="40"/>
      <w:bookmarkEnd w:id="41"/>
      <w:bookmarkEnd w:id="42"/>
    </w:p>
    <w:p>
      <w:pPr>
        <w:pStyle w:val="111"/>
        <w:ind w:left="785" w:hanging="0"/>
        <w:jc w:val="both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eastAsia="Times New Roman" w:ascii="Times New Roman" w:hAnsi="Times New Roman"/>
          <w:b/>
          <w:bCs/>
          <w:lang w:eastAsia="ru-RU"/>
        </w:rPr>
      </w:r>
    </w:p>
    <w:p>
      <w:pPr>
        <w:pStyle w:val="ListParagraph"/>
        <w:numPr>
          <w:ilvl w:val="0"/>
          <w:numId w:val="13"/>
        </w:numPr>
        <w:rPr>
          <w:szCs w:val="20"/>
          <w:lang w:eastAsia="x-none"/>
        </w:rPr>
      </w:pPr>
      <w:r>
        <w:rPr>
          <w:szCs w:val="20"/>
          <w:lang w:eastAsia="x-none"/>
        </w:rPr>
        <w:t>Приложение №1 – Габаритные размеры выключател</w:t>
      </w:r>
      <w:r>
        <w:rPr>
          <w:szCs w:val="20"/>
          <w:lang w:val="en-US" w:eastAsia="x-none"/>
        </w:rPr>
        <w:t>ей.</w:t>
      </w:r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Grande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color w:val="00000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.2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9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3" w:customStyle="1">
    <w:name w:val="Уровень 2 Знак"/>
    <w:basedOn w:val="DefaultParagraphFont"/>
    <w:link w:val="210"/>
    <w:qFormat/>
    <w:rsid w:val="007c3e68"/>
    <w:rPr>
      <w:sz w:val="28"/>
      <w:szCs w:val="22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Уровень 1"/>
    <w:basedOn w:val="ListParagraph"/>
    <w:autoRedefine/>
    <w:qFormat/>
    <w:rsid w:val="007c3e68"/>
    <w:pPr>
      <w:numPr>
        <w:ilvl w:val="0"/>
        <w:numId w:val="11"/>
      </w:numPr>
      <w:spacing w:lineRule="auto" w:line="276" w:before="360" w:after="240"/>
      <w:contextualSpacing w:val="false"/>
      <w:jc w:val="both"/>
    </w:pPr>
    <w:rPr>
      <w:rFonts w:eastAsia="Times New Roman"/>
      <w:b/>
      <w:sz w:val="32"/>
      <w:szCs w:val="22"/>
    </w:rPr>
  </w:style>
  <w:style w:type="paragraph" w:styleId="210" w:customStyle="1">
    <w:name w:val="Уровень 2"/>
    <w:basedOn w:val="110"/>
    <w:link w:val="23"/>
    <w:qFormat/>
    <w:rsid w:val="007c3e68"/>
    <w:pPr>
      <w:numPr>
        <w:ilvl w:val="1"/>
      </w:numPr>
      <w:tabs>
        <w:tab w:val="clear" w:pos="709"/>
        <w:tab w:val="left" w:pos="1701" w:leader="none"/>
      </w:tabs>
      <w:spacing w:before="0" w:after="0"/>
    </w:pPr>
    <w:rPr>
      <w:b w:val="false"/>
      <w:sz w:val="28"/>
    </w:rPr>
  </w:style>
  <w:style w:type="paragraph" w:styleId="111" w:customStyle="1">
    <w:name w:val="Без интервала1"/>
    <w:uiPriority w:val="1"/>
    <w:qFormat/>
    <w:rsid w:val="009f5ba4"/>
    <w:pPr>
      <w:widowControl/>
      <w:suppressAutoHyphens w:val="true"/>
      <w:bidi w:val="0"/>
      <w:spacing w:before="0" w:after="0"/>
      <w:jc w:val="left"/>
    </w:pPr>
    <w:rPr>
      <w:rFonts w:ascii="Lucida Grande CY" w:hAnsi="Lucida Grande CY" w:eastAsia="Lucida Grande CY" w:cs="Times New Roman"/>
      <w:color w:val="auto"/>
      <w:kern w:val="0"/>
      <w:sz w:val="24"/>
      <w:szCs w:val="24"/>
      <w:lang w:val="ru-RU" w:eastAsia="ar-SA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Default" w:customStyle="1">
    <w:name w:val="Default"/>
    <w:qFormat/>
    <w:rsid w:val="00f97bf7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7F38-8E74-4EA3-B3EF-2815B07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AlterOffice/3.4.0.9$Linux_X86_64 LibreOffice_project/b8daf9e823b1a5463a2f48435ddc2e8696e7d4fc</Application>
  <AppVersion>15.0000</AppVersion>
  <Pages>14</Pages>
  <Words>1837</Words>
  <Characters>13849</Characters>
  <CharactersWithSpaces>15237</CharactersWithSpaces>
  <Paragraphs>441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2025-06-18T03:31:00Z</dcterms:created>
  <dc:creator>Быстров Олег Геннадьевич</dc:creator>
  <dc:description/>
  <dc:language>ru-RU</dc:language>
  <cp:lastModifiedBy>solovyevayuv@corp.gidroogk.com</cp:lastModifiedBy>
  <cp:lastPrinted>2023-05-30T07:19:00Z</cp:lastPrinted>
  <dcterms:modified xsi:type="dcterms:W3CDTF">2026-07-02T15:06:15Z</dcterms:modified>
  <cp:revision>75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