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71.20.19.130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/>
          <w:b/>
          <w:i/>
          <w:sz w:val="26"/>
          <w:szCs w:val="26"/>
          <w:shd w:fill="auto" w:val="clear"/>
          <w:lang w:eastAsia="x-none"/>
        </w:rPr>
        <w:t xml:space="preserve">Оказание услуг по проведению измерений уровней электромагнитных полей и радиационного фона в рабочей зоне помещений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/>
          <w:b/>
          <w:i/>
          <w:sz w:val="26"/>
          <w:szCs w:val="26"/>
          <w:shd w:fill="auto" w:val="clear"/>
          <w:lang w:eastAsia="x-none"/>
        </w:rPr>
        <w:t>АО «ВНИИГ им. Б.Е. Веденеева»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  <w:shd w:fill="auto" w:val="clear"/>
        </w:rPr>
      </w:pPr>
      <w:r>
        <w:rPr>
          <w:rFonts w:eastAsia="Calibri"/>
          <w:b/>
          <w:i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/>
              <w:b w:val="false"/>
              <w:bCs w:val="false"/>
            </w:rPr>
          </w:pPr>
          <w:r>
            <w:fldChar w:fldCharType="begin"/>
          </w:r>
          <w:r>
            <w:rPr>
              <w:rStyle w:val="Style14"/>
              <w:vanish w:val="false"/>
            </w:rPr>
            <w:instrText xml:space="preserve"> TOC \o "1-4" \h</w:instrText>
          </w:r>
          <w:r>
            <w:rPr>
              <w:rStyle w:val="Style14"/>
              <w:vanish w:val="false"/>
            </w:rPr>
            <w:fldChar w:fldCharType="separate"/>
          </w:r>
          <w:hyperlink w:anchor="_Toc54643694">
            <w:r>
              <w:rPr>
                <w:rStyle w:val="Style14"/>
                <w:vanish w:val="false"/>
              </w:rPr>
              <w:t>1.</w:t>
            </w:r>
            <w:r>
              <w:rPr>
                <w:rStyle w:val="Style14"/>
                <w:rFonts w:ascii="Calibri" w:hAnsi="Calibr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/>
          </w:pPr>
          <w:hyperlink w:anchor="_Toc54643695">
            <w:r>
              <w:rPr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696">
            <w:r>
              <w:rPr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697">
            <w:r>
              <w:rPr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 xml:space="preserve">Цель оказания услуг 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698">
            <w:r>
              <w:rPr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 xml:space="preserve">Существующее положение 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rStyle w:val="Style14"/>
                <w:vanish w:val="false"/>
                <w:sz w:val="24"/>
                <w:szCs w:val="24"/>
              </w:rPr>
              <w:t>Таблица 1. Перечень объектов заказчика</w:t>
              <w:tab/>
            </w:r>
          </w:hyperlink>
          <w:r>
            <w:rPr>
              <w:vanish w:val="false"/>
              <w:sz w:val="24"/>
              <w:szCs w:val="24"/>
            </w:rPr>
            <w:t>4</w:t>
          </w:r>
        </w:p>
        <w:p>
          <w:pPr>
            <w:pStyle w:val="TOC4"/>
            <w:rPr/>
          </w:pPr>
          <w:hyperlink w:anchor="_Toc54643700">
            <w:r>
              <w:rPr>
                <w:rStyle w:val="Style14"/>
                <w:iCs/>
                <w:vanish w:val="false"/>
                <w:sz w:val="24"/>
                <w:szCs w:val="24"/>
              </w:rPr>
              <w:t>1.5.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rStyle w:val="Style14"/>
                <w:iCs/>
                <w:vanish w:val="false"/>
                <w:sz w:val="24"/>
                <w:szCs w:val="24"/>
              </w:rPr>
              <w:t>1.6.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 xml:space="preserve">Иные требования и сведения общего характера 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rStyle w:val="Style14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3704">
            <w:r>
              <w:rPr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3706">
            <w:r>
              <w:rPr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8">
            <w:r>
              <w:rPr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vanish w:val="false"/>
              <w:sz w:val="24"/>
              <w:szCs w:val="24"/>
            </w:rPr>
            <w:t>3</w:t>
          </w:r>
          <w:hyperlink w:anchor="_Toc54643712">
            <w:r>
              <w:rPr>
                <w:rStyle w:val="Style14"/>
                <w:vanish w:val="false"/>
                <w:sz w:val="24"/>
                <w:szCs w:val="24"/>
              </w:rPr>
              <w:t>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iCs/>
                <w:sz w:val="24"/>
                <w:szCs w:val="24"/>
              </w:rPr>
              <w:t>Приложение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1</w:t>
            </w:r>
          </w:hyperlink>
          <w:r>
            <w:rPr>
              <w:vanish w:val="false"/>
              <w:sz w:val="24"/>
              <w:szCs w:val="24"/>
            </w:rPr>
            <w:t>0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vanish w:val="false"/>
              <w:sz w:val="24"/>
              <w:szCs w:val="24"/>
            </w:rPr>
            <w:tab/>
            <w:t>3.1. Приложение 1 к Техническим требованиям...……………………………………………11</w:t>
          </w:r>
          <w:r>
            <w:rPr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right="0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p>
      <w:pPr>
        <w:pStyle w:val="Normal"/>
        <w:rPr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ЭМП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Электромагнитное поле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Общество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АО «ВНИИГ им. Б.Е. Веденеева»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Трудовой кодекс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Нормативные правовые акты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9" w:name="_Toc46743506"/>
      <w:bookmarkStart w:id="10" w:name="_Toc54643696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>
          <w:b w:val="false"/>
          <w:bCs/>
          <w:sz w:val="24"/>
          <w:szCs w:val="24"/>
        </w:rPr>
      </w:pPr>
      <w:r>
        <w:rPr>
          <w:rFonts w:eastAsia="Calibri"/>
          <w:i/>
          <w:sz w:val="26"/>
          <w:szCs w:val="26"/>
          <w:lang w:eastAsia="x-none"/>
        </w:rPr>
        <w:t xml:space="preserve">Оказание услуг по проведению измерений уровней электромагнитных полей и радиационного фона в рабочей зоне помещений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>
          <w:b w:val="false"/>
          <w:bCs/>
          <w:sz w:val="24"/>
          <w:szCs w:val="24"/>
        </w:rPr>
      </w:pPr>
      <w:r>
        <w:rPr>
          <w:rFonts w:eastAsia="Calibri"/>
          <w:i/>
          <w:sz w:val="26"/>
          <w:szCs w:val="26"/>
          <w:lang w:eastAsia="x-none"/>
        </w:rPr>
        <w:t>АО «ВНИИГ им. Б.Е. Веденеева»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11" w:name="_Toc54643697"/>
      <w:bookmarkStart w:id="12" w:name="_Toc46743507"/>
      <w:r>
        <w:rPr/>
        <w:t xml:space="preserve">Цель </w:t>
      </w:r>
      <w:bookmarkEnd w:id="12"/>
      <w:r>
        <w:rPr>
          <w:lang w:val="ru-RU"/>
        </w:rPr>
        <w:t>оказания услуг</w:t>
      </w:r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Идентификация вредных и (или) опасных факторов производственной среды и трудового процесса и оценка уровня их воздействия на работника с учетом отклонения их фактических значений от установленных.</w:t>
      </w:r>
    </w:p>
    <w:p>
      <w:pPr>
        <w:pStyle w:val="Heading4"/>
        <w:numPr>
          <w:ilvl w:val="1"/>
          <w:numId w:val="3"/>
        </w:numPr>
        <w:rPr/>
      </w:pPr>
      <w:bookmarkStart w:id="13" w:name="_Toc46743508"/>
      <w:bookmarkStart w:id="14" w:name="_Toc54643698"/>
      <w:r>
        <w:rPr/>
        <w:t>Существующее положение</w:t>
      </w:r>
      <w:bookmarkEnd w:id="13"/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Федеральный закон № 426-ФЗ от 28 декабря 2013 г. «О специальной оценке условий труда».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Трудовой кодекс РФ ст. 214; ст. 214.1.; ст. 216.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Приказ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лица)». Примерный перечень: п.19.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 Примерный перечень: п.1.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Приказ Минтруда России от 31.01.2022 № 36 «Об утверждении Рекомендаций по классификации, обнаружению, распознаванию и описанию опасностей». Рекомендации: п.2.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5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5"/>
    </w:p>
    <w:tbl>
      <w:tblPr>
        <w:tblW w:w="991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50"/>
        <w:gridCol w:w="213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195220, г. Санкт-Петербург, ул. Гжатская, д. 21, литера 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6" w:name="_Toc54643700"/>
      <w:bookmarkStart w:id="17" w:name="_Toc46743509"/>
      <w:bookmarkStart w:id="18" w:name="_Hlk49857604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End w:id="17"/>
      <w:bookmarkEnd w:id="18"/>
      <w:r>
        <w:rPr/>
        <w:t>)</w:t>
      </w:r>
      <w:r>
        <w:rPr>
          <w:lang w:val="ru-RU"/>
        </w:rPr>
        <w:t xml:space="preserve"> </w:t>
      </w:r>
      <w:bookmarkEnd w:id="16"/>
    </w:p>
    <w:p>
      <w:pPr>
        <w:pStyle w:val="Normal"/>
        <w:rPr>
          <w:shd w:fill="auto" w:val="clear"/>
        </w:rPr>
      </w:pPr>
      <w:r>
        <w:rPr>
          <w:i/>
          <w:iCs/>
          <w:sz w:val="24"/>
          <w:szCs w:val="24"/>
          <w:shd w:fill="auto" w:val="clear"/>
        </w:rPr>
        <w:t xml:space="preserve">Рабочие места работников расположены над производственным участком компании, занимающейся сборкой рентгеновских камер, рентгеновского оборудования и электромагнитных катушек. </w:t>
      </w:r>
    </w:p>
    <w:p>
      <w:pPr>
        <w:pStyle w:val="Normal"/>
        <w:rPr>
          <w:highlight w:val="none"/>
          <w:shd w:fill="auto" w:val="clear"/>
        </w:rPr>
      </w:pPr>
      <w:r>
        <w:rPr>
          <w:i/>
          <w:iCs/>
          <w:sz w:val="24"/>
          <w:szCs w:val="24"/>
          <w:shd w:fill="auto" w:val="clear"/>
        </w:rPr>
        <w:t>Измерения проводятся подряд в течение 3-х рабочих дней в 6 местах (точках). Точки измерения распределены вокруг производственного участка, а именно:</w:t>
      </w:r>
    </w:p>
    <w:p>
      <w:pPr>
        <w:pStyle w:val="Normal"/>
        <w:numPr>
          <w:ilvl w:val="0"/>
          <w:numId w:val="10"/>
        </w:numPr>
        <w:rPr>
          <w:highlight w:val="none"/>
          <w:shd w:fill="auto" w:val="clear"/>
        </w:rPr>
      </w:pPr>
      <w:r>
        <w:rPr>
          <w:i/>
          <w:iCs/>
          <w:sz w:val="24"/>
          <w:szCs w:val="24"/>
          <w:shd w:fill="auto" w:val="clear"/>
        </w:rPr>
        <w:t>2 точки - на одном этаже вблизи производственного участка;</w:t>
      </w:r>
    </w:p>
    <w:p>
      <w:pPr>
        <w:pStyle w:val="Normal"/>
        <w:numPr>
          <w:ilvl w:val="0"/>
          <w:numId w:val="10"/>
        </w:numPr>
        <w:rPr>
          <w:highlight w:val="none"/>
          <w:shd w:fill="auto" w:val="clear"/>
        </w:rPr>
      </w:pPr>
      <w:r>
        <w:rPr>
          <w:i/>
          <w:iCs/>
          <w:sz w:val="24"/>
          <w:szCs w:val="24"/>
          <w:shd w:fill="auto" w:val="clear"/>
        </w:rPr>
        <w:t>2 точки - этажом выше над производственным участком;</w:t>
      </w:r>
    </w:p>
    <w:p>
      <w:pPr>
        <w:pStyle w:val="Normal"/>
        <w:numPr>
          <w:ilvl w:val="0"/>
          <w:numId w:val="10"/>
        </w:numPr>
        <w:rPr>
          <w:highlight w:val="none"/>
          <w:shd w:fill="auto" w:val="clear"/>
        </w:rPr>
      </w:pPr>
      <w:r>
        <w:rPr>
          <w:i/>
          <w:iCs/>
          <w:sz w:val="24"/>
          <w:szCs w:val="24"/>
          <w:shd w:fill="auto" w:val="clear"/>
        </w:rPr>
        <w:t>2 точки - на улице вблизи территории, прилегающей к производственному участку.</w:t>
      </w:r>
    </w:p>
    <w:p>
      <w:pPr>
        <w:pStyle w:val="Heading4"/>
        <w:numPr>
          <w:ilvl w:val="1"/>
          <w:numId w:val="3"/>
        </w:numPr>
        <w:rPr/>
      </w:pPr>
      <w:bookmarkStart w:id="20" w:name="_Toc54643701"/>
      <w:bookmarkStart w:id="21" w:name="_Hlk48209761_Копия_1"/>
      <w:bookmarkStart w:id="22" w:name="_Toc50125126"/>
      <w:bookmarkEnd w:id="21"/>
      <w:bookmarkEnd w:id="22"/>
      <w:r>
        <w:rPr/>
        <w:t>Иные требования и сведения общего характера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Услуги оказываются в соответствии с действующим законодательством Российской Федерации: ТК РФ; ФЗ № 426-ФЗ от 28.12.2013 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Услуги оказываются силами и средствами Исполнителя.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Контроль за выполнением Услуг Исполнителем осуществляется заместителем начальника УАО АО «ВНИИГ им. Б.Е. Веденеева».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ru-RU"/>
        </w:rPr>
        <w:t>В полном объеме и в сроки, указанные в Договоре и Технических требованиях.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1.  </w:t>
      </w:r>
      <w:r>
        <w:rPr>
          <w:i/>
          <w:iCs/>
          <w:sz w:val="24"/>
          <w:szCs w:val="24"/>
          <w:lang w:val="ru-RU"/>
        </w:rPr>
        <w:t xml:space="preserve">Измерение уровней электромагнитных полей промышленной частоты 50 Гц, </w:t>
      </w:r>
      <w:r>
        <w:rPr>
          <w:rStyle w:val="Style8"/>
          <w:rFonts w:eastAsia="Calibri"/>
          <w:b w:val="false"/>
          <w:bCs/>
          <w:i/>
          <w:iCs/>
          <w:sz w:val="24"/>
          <w:szCs w:val="24"/>
          <w:shd w:fill="auto" w:val="clear"/>
          <w:lang w:val="ru-RU" w:eastAsia="x-none"/>
        </w:rPr>
        <w:t>кВ/м</w:t>
      </w:r>
      <w:r>
        <w:rPr>
          <w:rFonts w:eastAsia="Calibri"/>
          <w:i/>
          <w:iCs/>
          <w:sz w:val="24"/>
          <w:szCs w:val="24"/>
          <w:lang w:val="ru-RU" w:eastAsia="x-none"/>
        </w:rPr>
        <w:t>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val="ru-RU" w:eastAsia="x-none"/>
        </w:rPr>
        <w:t xml:space="preserve">2. Измерение уровней электромагнитных полей радиочастотного диапазона 300 МГц-18 ГГц, </w:t>
      </w:r>
      <w:r>
        <w:rPr>
          <w:rStyle w:val="Style8"/>
          <w:rFonts w:eastAsia="Calibri"/>
          <w:b w:val="false"/>
          <w:bCs/>
          <w:i/>
          <w:iCs/>
          <w:sz w:val="24"/>
          <w:szCs w:val="24"/>
          <w:shd w:fill="auto" w:val="clear"/>
          <w:lang w:val="ru-RU" w:eastAsia="x-none"/>
        </w:rPr>
        <w:t>мкВт/см</w:t>
      </w:r>
      <w:r>
        <w:rPr>
          <w:rStyle w:val="Style8"/>
          <w:rFonts w:eastAsia="Calibri"/>
          <w:b w:val="false"/>
          <w:bCs/>
          <w:i/>
          <w:iCs/>
          <w:sz w:val="24"/>
          <w:szCs w:val="24"/>
          <w:shd w:fill="auto" w:val="clear"/>
          <w:vertAlign w:val="superscript"/>
          <w:lang w:val="ru-RU" w:eastAsia="x-none"/>
        </w:rPr>
        <w:t>2.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val="ru-RU" w:eastAsia="x-none"/>
        </w:rPr>
        <w:t xml:space="preserve">3. </w:t>
      </w:r>
      <w:r>
        <w:rPr>
          <w:rFonts w:eastAsia="Calibri"/>
          <w:i/>
          <w:iCs/>
          <w:sz w:val="24"/>
          <w:szCs w:val="24"/>
          <w:shd w:fill="auto" w:val="clear"/>
          <w:lang w:val="ru-RU" w:eastAsia="x-none"/>
        </w:rPr>
        <w:t>Плотность и напряжённость электромагнитного потока в диапазоне 1 Гц-400 кГц, мкТл.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shd w:fill="auto" w:val="clear"/>
          <w:lang w:val="ru-RU" w:eastAsia="x-none"/>
        </w:rPr>
        <w:t>4. Измерение радиационного фона</w:t>
      </w:r>
      <w:r>
        <w:rPr>
          <w:rFonts w:eastAsia="Calibri"/>
          <w:i/>
          <w:iCs/>
          <w:color w:val="000000"/>
          <w:sz w:val="24"/>
          <w:szCs w:val="24"/>
          <w:shd w:fill="auto" w:val="clear"/>
          <w:lang w:val="ru-RU" w:eastAsia="x-none"/>
        </w:rPr>
        <w:t xml:space="preserve">, </w:t>
      </w:r>
      <w:r>
        <w:rPr>
          <w:rStyle w:val="Strong"/>
          <w:rFonts w:eastAsia="Calibri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x-none"/>
        </w:rPr>
        <w:t>мкЗв/ч.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val="ru-RU" w:eastAsia="x-none"/>
        </w:rPr>
        <w:t>5. Оформление протоколов измерений.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val="ru-RU" w:eastAsia="x-none"/>
        </w:rPr>
        <w:t xml:space="preserve">6. </w:t>
      </w:r>
      <w:r>
        <w:rPr>
          <w:rFonts w:eastAsia="Calibri"/>
          <w:i/>
          <w:iCs/>
          <w:sz w:val="24"/>
          <w:szCs w:val="24"/>
          <w:lang w:val="ru-RU" w:eastAsia="x-none"/>
        </w:rPr>
        <w:t>Составление общего заключения о фоне рабочих зон в местах проводимых измерений, в сравнении с допустимыми показателями.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p>
      <w:pPr>
        <w:pStyle w:val="Normal"/>
        <w:spacing w:before="240" w:after="60"/>
        <w:ind w:left="0" w:righ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6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4960"/>
        <w:gridCol w:w="1996"/>
        <w:gridCol w:w="2112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/>
                <w:iCs/>
                <w:sz w:val="24"/>
                <w:szCs w:val="24"/>
                <w:shd w:fill="auto" w:val="clear"/>
                <w:lang w:val="ru-RU" w:eastAsia="x-none"/>
              </w:rPr>
              <w:t>Измерение уровней электромагнитных полей промышленной частоты 50 Гц, кВ/м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точка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/>
                <w:iCs/>
                <w:sz w:val="24"/>
                <w:szCs w:val="24"/>
                <w:shd w:fill="auto" w:val="clear"/>
                <w:lang w:val="ru-RU" w:eastAsia="x-none"/>
              </w:rPr>
              <w:t>Измерение уровней электромагнитных полей радиочастотного диапазона 300 МГц-18 ГГц, мкВт/см</w:t>
            </w:r>
            <w:r>
              <w:rPr>
                <w:rStyle w:val="Style8"/>
                <w:rFonts w:eastAsia="Calibri"/>
                <w:b w:val="false"/>
                <w:bCs/>
                <w:i/>
                <w:iCs/>
                <w:sz w:val="24"/>
                <w:szCs w:val="24"/>
                <w:shd w:fill="auto" w:val="clear"/>
                <w:vertAlign w:val="superscript"/>
                <w:lang w:val="ru-RU" w:eastAsia="x-none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точка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4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Плотность и напряжённость  электромагнитного потока в диапазоне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1 Гц-400 кГц, мкТл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точка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18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val="ru-RU" w:eastAsia="x-none"/>
              </w:rPr>
              <w:t>Измерение радиационного фона, мкЗв/ч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точка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18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ru-RU" w:eastAsia="x-none"/>
              </w:rPr>
              <w:t>Оформление протоколов измерений за каждый день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штук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Составление общего заключения о фоне рабочих зон в местах проводимых измерений, в сравнении с допустимыми показателями.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штук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ru-RU"/>
        </w:rPr>
        <w:t>Сроки оказания услуг указаны в таблице 3.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bookmarkStart w:id="34" w:name="_Toc50125126_Копия_1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5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7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452"/>
        <w:gridCol w:w="2437"/>
        <w:gridCol w:w="3092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ind w:left="36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/>
                <w:iCs/>
                <w:sz w:val="24"/>
                <w:szCs w:val="24"/>
                <w:shd w:fill="auto" w:val="clear"/>
                <w:lang w:val="ru-RU" w:eastAsia="x-none"/>
              </w:rPr>
              <w:t>Измерение уровней электромагнитных полей промышленной частоты 50 Гц, кВ/м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предварительной договоренности с Заказчиком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3-х календарных дней от даты начала оказания услуг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ind w:left="36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/>
                <w:iCs/>
                <w:sz w:val="24"/>
                <w:szCs w:val="24"/>
                <w:shd w:fill="auto" w:val="clear"/>
                <w:lang w:val="ru-RU" w:eastAsia="x-none"/>
              </w:rPr>
              <w:t>Измерение уровней электромагнитных полей радиочастотного диапазона 300 МГц-18 ГГц, мкВт/см</w:t>
            </w:r>
            <w:r>
              <w:rPr>
                <w:rStyle w:val="Style8"/>
                <w:rFonts w:eastAsia="Calibri"/>
                <w:b w:val="false"/>
                <w:bCs/>
                <w:i/>
                <w:iCs/>
                <w:sz w:val="24"/>
                <w:szCs w:val="24"/>
                <w:shd w:fill="auto" w:val="clear"/>
                <w:vertAlign w:val="superscript"/>
                <w:lang w:val="ru-RU" w:eastAsia="x-none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предварительной договоренности с Заказчиком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3-х календарных дней от даты начала оказания услуг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ind w:left="36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Плотность и напряжённость  электромагнитного потока в диапазоне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1 Гц-400 кГц, мкТл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предварительной договоренности с Заказчиком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3-х календарных дней от даты начала оказания услуг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ind w:left="36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val="ru-RU" w:eastAsia="x-none"/>
              </w:rPr>
              <w:t>Измерение радиационного фона, мкЗв/ч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предварительной договоренности с Заказчиком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3-х календарных дней от даты начала оказания услуг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ind w:left="36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ru-RU" w:eastAsia="x-none"/>
              </w:rPr>
              <w:t>Оформление протоколов измерений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измерений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14-ти календарных дней от даты начала оказания услуг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ind w:left="36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Составление общего заключения о фоне рабочих зон в местах проводимых измерений, в сравнении с допустимыми показателями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измерений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течение 14-ти календарных дней от даты начала оказания услуг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orient="landscape" w:w="16838" w:h="11906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6" w:name="_Toc54643709"/>
      <w:bookmarkStart w:id="37" w:name="_Toc51339698"/>
      <w:bookmarkStart w:id="38" w:name="_Toc54643708"/>
      <w:bookmarkStart w:id="39" w:name="_Toc46743511"/>
      <w:r>
        <w:rPr/>
        <w:t xml:space="preserve">Требования к </w:t>
      </w:r>
      <w:bookmarkEnd w:id="39"/>
      <w:r>
        <w:rPr>
          <w:lang w:val="ru-RU"/>
        </w:rPr>
        <w:t>качеству услуг</w:t>
      </w:r>
      <w:bookmarkEnd w:id="38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7"/>
      <w:r>
        <w:rPr>
          <w:sz w:val="24"/>
          <w:szCs w:val="24"/>
          <w:lang w:val="ru-RU"/>
        </w:rPr>
        <w:t>качеству услуг</w:t>
      </w:r>
      <w:bookmarkEnd w:id="36"/>
      <w:r>
        <w:rPr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yle8"/>
          <w:b/>
          <w:bCs/>
          <w:i w:val="false"/>
          <w:iCs w:val="false"/>
          <w:sz w:val="24"/>
          <w:szCs w:val="24"/>
          <w:shd w:fill="auto" w:val="clear"/>
        </w:rPr>
        <w:t>Наименование услуг:</w:t>
      </w:r>
      <w:r>
        <w:rPr>
          <w:rStyle w:val="Style8"/>
          <w:b w:val="false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8"/>
          <w:rFonts w:eastAsia="Calibri"/>
          <w:b w:val="false"/>
          <w:bCs/>
          <w:i/>
          <w:iCs/>
          <w:sz w:val="24"/>
          <w:szCs w:val="24"/>
          <w:shd w:fill="auto" w:val="clear"/>
          <w:lang w:val="ru-RU" w:eastAsia="x-none"/>
        </w:rPr>
        <w:t>Проведение измерений уровней электромагнитных полей и радиационного фона.</w:t>
      </w:r>
    </w:p>
    <w:p>
      <w:pPr>
        <w:pStyle w:val="Normal"/>
        <w:rPr>
          <w:b w:val="false"/>
        </w:rPr>
      </w:pPr>
      <w:r>
        <w:rPr>
          <w:rStyle w:val="Style8"/>
          <w:b w:val="false"/>
        </w:rPr>
        <w:t xml:space="preserve"> </w:t>
      </w:r>
    </w:p>
    <w:tbl>
      <w:tblPr>
        <w:tblW w:w="1488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153"/>
        <w:gridCol w:w="10549"/>
      </w:tblGrid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0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выполняемых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перечню наименования услуг, указанных в таблице 2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способам оказания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1. Исполнитель должен иметь соответствующую лицензию и аккредитацию на оказание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Проведение лабораторно-инструментальных измерений необходимых показателей на территории Заказчика.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Организационно-технические мероприятия по допуску работников Исполнителя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1. Допуск работников и экспертов Исполнителя для оказания услуг должен осуществляться с обязательным оформлением необходимых пропусков по письму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(Приложение 1 к</w:t>
            </w:r>
            <w:r>
              <w:rPr>
                <w:b w:val="false"/>
                <w:bCs w:val="false"/>
                <w:sz w:val="24"/>
                <w:szCs w:val="24"/>
              </w:rPr>
              <w:t xml:space="preserve"> Техническим требованиям).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Доступ работников Исполнителя к точкам замеров выполняется работниками Заказчика.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используемому оборудованию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При </w:t>
            </w:r>
            <w:r>
              <w:rPr>
                <w:rFonts w:eastAsia="Calibri"/>
                <w:i w:val="false"/>
                <w:iCs w:val="false"/>
                <w:sz w:val="26"/>
                <w:szCs w:val="26"/>
                <w:lang w:eastAsia="x-none"/>
              </w:rPr>
              <w:t>проведении измерений Исполнитель обязан иметь исправные, прошедшие проверку переносные измерительные приборы (оборудование).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работникам Исполнителя, привлекаемых к оказанию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работники Исполнителя должны быть специалистами.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Профессиональные требования к работникам Исполнителя, привлекаемых к оказанию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Соблюдение всех требований НПА.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 Наличие необходимых сертификатов и (или) иных документов, подтверждающих квалификацию специалистов.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1.5.3.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Внешний вид работников Исполнителя, привлекаемых к оказанию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работники Исполнителя должны быть одеты и обуты по погоде.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оформляются протоколы измерений по каждому дню и итоговое</w:t>
            </w:r>
            <w:r>
              <w:rPr>
                <w:sz w:val="24"/>
                <w:szCs w:val="24"/>
                <w:shd w:fill="auto" w:val="clear"/>
              </w:rPr>
              <w:t xml:space="preserve"> общее заключение.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Безопасность использования результатов по оказанию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передавать третьим лицам результаты</w:t>
            </w:r>
            <w:r>
              <w:rPr>
                <w:sz w:val="24"/>
                <w:szCs w:val="24"/>
                <w:shd w:fill="auto" w:val="clear"/>
              </w:rPr>
              <w:t xml:space="preserve"> измерений и не разглашать сам факт проведения измерений на территории Заказчика без предварительного одобрения такового с Заказчиком.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передаваемые Заказчику по результатам оказания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Протоколы измерений уровней ЭМП промышленной частоты 50 Гц, 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/>
              </w:rPr>
              <w:t>кВ/м</w:t>
            </w:r>
            <w:r>
              <w:rPr>
                <w:i w:val="false"/>
                <w:iCs w:val="false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 Протоколы измерен</w:t>
            </w:r>
            <w:r>
              <w:rPr>
                <w:sz w:val="24"/>
                <w:szCs w:val="24"/>
              </w:rPr>
              <w:t>ий уровней ЭМП радиочастотного диапазона 300 МГц-18 ГГц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ru-RU" w:eastAsia="x-none"/>
              </w:rPr>
              <w:t>, мкВт/см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vertAlign w:val="superscript"/>
                <w:lang w:val="ru-RU" w:eastAsia="x-none"/>
              </w:rPr>
              <w:t>2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position w:val="0"/>
                <w:sz w:val="24"/>
                <w:sz w:val="24"/>
                <w:szCs w:val="24"/>
                <w:shd w:fill="auto" w:val="clear"/>
                <w:vertAlign w:val="baseline"/>
                <w:lang w:val="ru-RU" w:eastAsia="x-none"/>
              </w:rPr>
              <w:t>.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3. Протоколы измерений плотности и напряжённости  электромагнитного потока в диапазоне 1 Гц-400 кГц, мкТл.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Протоколы и</w:t>
            </w:r>
            <w:r>
              <w:rPr>
                <w:sz w:val="24"/>
                <w:szCs w:val="24"/>
              </w:rPr>
              <w:t>змерени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радиационного фона, мкЗв/ч.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Общее заключение о фоне рабочих зон в местах проводимых измерений в сравнении с допустимыми показателями.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сохранность имущества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сохранность личных вещей работников Общества.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0" w:right="0" w:hanging="0"/>
        <w:jc w:val="center"/>
        <w:rPr>
          <w:iCs/>
          <w:caps/>
        </w:rPr>
      </w:pPr>
      <w:r>
        <w:rPr>
          <w:iCs/>
          <w:caps/>
        </w:rPr>
      </w:r>
      <w:bookmarkStart w:id="41" w:name="_Toc51339699_Копия_1"/>
      <w:bookmarkStart w:id="42" w:name="_Toc46743519_Копия_1"/>
      <w:bookmarkStart w:id="43" w:name="_Toc51339699_Копия_1"/>
      <w:bookmarkStart w:id="44" w:name="_Toc46743519_Копия_1"/>
      <w:bookmarkEnd w:id="43"/>
      <w:bookmarkEnd w:id="44"/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</w:rPr>
      </w:pPr>
      <w:r>
        <w:rPr>
          <w:iCs/>
          <w:lang w:val="ru-RU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6"/>
          <w:szCs w:val="26"/>
          <w:shd w:fill="auto" w:val="clear"/>
        </w:rPr>
        <w:t>Приложение №1: Письмо на допуск на территорию АО «ВНИИГ им. Б.Е. Веденеева».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ind w:left="360" w:right="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1к Техническим требованиям</w:t>
      </w:r>
    </w:p>
    <w:p>
      <w:pPr>
        <w:pStyle w:val="Normal"/>
        <w:ind w:left="360" w:right="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360" w:right="0" w:hanging="0"/>
        <w:jc w:val="right"/>
        <w:rPr>
          <w:b/>
        </w:rPr>
      </w:pPr>
      <w:r>
        <w:rPr/>
        <w:t xml:space="preserve">Угловой штамп организации                                      Генеральному директору              </w:t>
      </w:r>
    </w:p>
    <w:p>
      <w:pPr>
        <w:pStyle w:val="Normal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  <w:tab/>
        <w:tab/>
        <w:t xml:space="preserve">  </w:t>
      </w:r>
    </w:p>
    <w:p>
      <w:pPr>
        <w:pStyle w:val="Normal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АО «ВНИИГ им. Б.Е. Веденеева»</w:t>
      </w:r>
    </w:p>
    <w:p>
      <w:pPr>
        <w:pStyle w:val="Normal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right"/>
        <w:rPr/>
      </w:pPr>
      <w:r>
        <w:rPr>
          <w:sz w:val="28"/>
          <w:szCs w:val="28"/>
        </w:rPr>
        <w:t xml:space="preserve">                                                </w:t>
      </w:r>
      <w:bookmarkStart w:id="45" w:name="_GoBack"/>
      <w:bookmarkEnd w:id="45"/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А.В. Виноградову</w:t>
      </w:r>
    </w:p>
    <w:p>
      <w:pPr>
        <w:pStyle w:val="Normal"/>
        <w:tabs>
          <w:tab w:val="clear" w:pos="708"/>
          <w:tab w:val="left" w:pos="1573" w:leader="none"/>
          <w:tab w:val="right" w:pos="9921" w:leader="none"/>
        </w:tabs>
        <w:ind w:left="360" w:right="0" w:hanging="0"/>
        <w:rPr/>
      </w:pPr>
      <w:r>
        <w:rPr/>
      </w:r>
    </w:p>
    <w:p>
      <w:pPr>
        <w:pStyle w:val="Normal"/>
        <w:tabs>
          <w:tab w:val="clear" w:pos="708"/>
          <w:tab w:val="left" w:pos="1573" w:leader="none"/>
          <w:tab w:val="right" w:pos="9921" w:leader="none"/>
        </w:tabs>
        <w:ind w:left="360" w:right="0" w:hanging="0"/>
        <w:rPr/>
      </w:pPr>
      <w:r>
        <w:rPr/>
      </w:r>
    </w:p>
    <w:p>
      <w:pPr>
        <w:pStyle w:val="Normal"/>
        <w:ind w:left="36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360" w:right="0" w:hanging="0"/>
        <w:jc w:val="center"/>
        <w:rPr>
          <w:sz w:val="28"/>
        </w:rPr>
      </w:pPr>
      <w:r>
        <w:rPr>
          <w:sz w:val="28"/>
        </w:rPr>
        <w:t>Уважаемый Алексей Викторович!</w:t>
      </w:r>
    </w:p>
    <w:p>
      <w:pPr>
        <w:pStyle w:val="BodyTextIndent"/>
        <w:rPr/>
      </w:pPr>
      <w:r>
        <w:rPr/>
        <w:t>Согласно договору  № ____________ от ________________________ прошу Вашего разрешения на допуск на территорию АО «ВНИИГ им. Б.Е. Веденеева» работников ______________________________________   согласно  списку</w:t>
      </w:r>
    </w:p>
    <w:p>
      <w:pPr>
        <w:pStyle w:val="Normal"/>
        <w:jc w:val="both"/>
        <w:rPr/>
      </w:pPr>
      <w:r>
        <w:rPr/>
        <w:t xml:space="preserve">                   </w:t>
      </w:r>
      <w:r>
        <w:rPr>
          <w:sz w:val="16"/>
          <w:szCs w:val="16"/>
        </w:rPr>
        <w:t>(название организации, ИНН)</w:t>
      </w:r>
      <w:r>
        <w:rPr/>
        <w:t xml:space="preserve">  </w:t>
      </w:r>
    </w:p>
    <w:p>
      <w:pPr>
        <w:pStyle w:val="Normal"/>
        <w:jc w:val="both"/>
        <w:rPr/>
      </w:pPr>
      <w:r>
        <w:rPr/>
        <w:t xml:space="preserve">в период с __________________ по ____________________     </w:t>
      </w:r>
    </w:p>
    <w:p>
      <w:pPr>
        <w:pStyle w:val="Normal"/>
        <w:jc w:val="both"/>
        <w:rPr/>
      </w:pPr>
      <w:r>
        <w:rPr/>
      </w:r>
    </w:p>
    <w:tbl>
      <w:tblPr>
        <w:tblW w:w="9781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2552"/>
        <w:gridCol w:w="2409"/>
        <w:gridCol w:w="1843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50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  <w:p>
            <w:pPr>
              <w:pStyle w:val="Normal"/>
              <w:widowControl w:val="false"/>
              <w:ind w:left="0" w:right="0" w:firstLine="50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Номер и серия паспорта гражданина РФ, дата выдачи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Вид деятельности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5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5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5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Ответственный за организацию работ на объекте (при проведении работ): ____________________________________________________________________________</w:t>
      </w:r>
    </w:p>
    <w:p>
      <w:pPr>
        <w:pStyle w:val="Normal"/>
        <w:spacing w:before="0" w:after="0"/>
        <w:ind w:left="720" w:right="0" w:hanging="0"/>
        <w:contextualSpacing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Ответственный за пожарную безопасность на объекте работ (при проведении работ): 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3.  Подтверждаю наличие письменного или иным образом зафиксированного согласия  физического лица на обработку его персональных данных.</w:t>
      </w:r>
    </w:p>
    <w:p>
      <w:pPr>
        <w:pStyle w:val="Normal"/>
        <w:rPr/>
      </w:pPr>
      <w:r>
        <w:rPr/>
      </w:r>
    </w:p>
    <w:p>
      <w:pPr>
        <w:pStyle w:val="Normal"/>
        <w:ind w:left="3540" w:right="0" w:hanging="0"/>
        <w:rPr/>
      </w:pPr>
      <w:r>
        <w:rPr/>
        <w:t>Руководитель организации________________________</w:t>
      </w:r>
    </w:p>
    <w:p>
      <w:pPr>
        <w:pStyle w:val="Normal"/>
        <w:jc w:val="both"/>
        <w:rPr/>
      </w:pPr>
      <w:r>
        <w:rPr/>
        <w:t>М.П.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Согласовано:</w:t>
      </w:r>
    </w:p>
    <w:p>
      <w:pPr>
        <w:pStyle w:val="Header"/>
        <w:tabs>
          <w:tab w:val="clear" w:pos="4677"/>
          <w:tab w:val="clear" w:pos="9355"/>
        </w:tabs>
        <w:rPr/>
      </w:pPr>
      <w:r>
        <w:rPr/>
      </w:r>
    </w:p>
    <w:p>
      <w:pPr>
        <w:pStyle w:val="Header"/>
        <w:tabs>
          <w:tab w:val="clear" w:pos="4677"/>
          <w:tab w:val="clear" w:pos="9355"/>
        </w:tabs>
        <w:rPr>
          <w:sz w:val="16"/>
          <w:szCs w:val="16"/>
        </w:rPr>
      </w:pPr>
      <w:r>
        <w:rPr/>
        <w:t xml:space="preserve">Ответственный исполнитель по договору       __________        ________________  </w:t>
      </w:r>
    </w:p>
    <w:p>
      <w:pPr>
        <w:pStyle w:val="Header"/>
        <w:tabs>
          <w:tab w:val="clear" w:pos="4677"/>
          <w:tab w:val="clear" w:pos="93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Подпись                                   (Фамилия И.О.)</w:t>
      </w:r>
    </w:p>
    <w:p>
      <w:pPr>
        <w:pStyle w:val="Header"/>
        <w:tabs>
          <w:tab w:val="clear" w:pos="4677"/>
          <w:tab w:val="clear" w:pos="9355"/>
        </w:tabs>
        <w:rPr>
          <w:sz w:val="32"/>
        </w:rPr>
      </w:pPr>
      <w:r>
        <w:rPr>
          <w:sz w:val="32"/>
        </w:rPr>
      </w:r>
    </w:p>
    <w:p>
      <w:pPr>
        <w:pStyle w:val="Normal"/>
        <w:rPr>
          <w:sz w:val="20"/>
        </w:rPr>
      </w:pPr>
      <w:r>
        <w:rPr/>
        <w:t xml:space="preserve">                                       </w:t>
      </w:r>
      <w:r>
        <w:rPr/>
        <w:tab/>
        <w:tab/>
        <w:tab/>
        <w:tab/>
        <w:t xml:space="preserve">                                                                            </w:t>
      </w:r>
    </w:p>
    <w:sectPr>
      <w:headerReference w:type="default" r:id="rId8"/>
      <w:headerReference w:type="first" r:id="rId9"/>
      <w:type w:val="nextPage"/>
      <w:pgSz w:w="11906" w:h="16838"/>
      <w:pgMar w:left="1134" w:right="572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4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19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Application>AlterOffice/2025.3.0.0$Linux_X86_64 LibreOffice_project/4ba31b6a4271509a884f95065d0a726e9cb2bdbb</Application>
  <AppVersion>15.0000</AppVersion>
  <Pages>11</Pages>
  <Words>1495</Words>
  <Characters>9903</Characters>
  <CharactersWithSpaces>11657</CharactersWithSpaces>
  <Paragraphs>277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gorshkovala</cp:lastModifiedBy>
  <cp:lastPrinted>2026-07-03T10:00:16Z</cp:lastPrinted>
  <dcterms:modified xsi:type="dcterms:W3CDTF">2026-07-03T10:18:25Z</dcterms:modified>
  <cp:revision>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