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bookmarkStart w:id="0" w:name="_GoBack"/>
      <w:bookmarkEnd w:id="0"/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11"/>
        <w:numPr>
          <w:ilvl w:val="0"/>
          <w:numId w:val="2"/>
        </w:numPr>
        <w:tabs>
          <w:tab w:val="clear" w:pos="708"/>
          <w:tab w:val="left" w:pos="709" w:leader="none"/>
        </w:tabs>
        <w:spacing w:beforeAutospacing="0" w:before="0" w:afterAutospacing="0" w:after="0"/>
        <w:jc w:val="center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Запрос технико-коммерческих предложений в рамках Упрощенной закупки </w:t>
        <w:br/>
        <w:t xml:space="preserve">по лоту №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41077772-ЭКСП ПРОД-2026-СШГЭС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709" w:leader="none"/>
        </w:tabs>
        <w:spacing w:beforeAutospacing="0" w:before="0" w:afterAutospacing="0" w:after="0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right="-166" w:firstLine="426"/>
        <w:contextualSpacing/>
        <w:jc w:val="both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ind w:firstLine="426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Филиал ПАО «РусГидро» </w:t>
      </w:r>
      <w:r>
        <w:rPr>
          <w:rFonts w:eastAsia="Symbol" w:cs="Symbol"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«Саяно-Шушенская ГЭС имени </w:t>
      </w:r>
      <w:r>
        <w:rPr>
          <w:rFonts w:ascii="Times New Roman" w:hAnsi="Times New Roman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/>
          <w:color w:val="000000"/>
          <w:sz w:val="24"/>
          <w:szCs w:val="24"/>
        </w:rPr>
        <w:t xml:space="preserve">П.С. Непорожнего»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41077772-ЭКСП ПРОД-2026-СШГЭС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hyperlink r:id="rId3">
        <w:r>
          <w:rPr>
            <w:rStyle w:val="Hyperlink"/>
            <w:rFonts w:ascii="Times New Roman" w:hAnsi="Times New Roman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ОКПД2 14.12.3 Поставка спецодежды и спецобуви для нужд филиала ПАО «РусГидро»-«Саяно-Шушенская ГЭС имени П.С. Непорожнего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/>
      </w:pPr>
      <w:r>
        <w:rPr>
          <w:rFonts w:ascii="Times New Roman" w:hAnsi="Times New Roman"/>
          <w:szCs w:val="24"/>
        </w:rPr>
        <w:t xml:space="preserve">юридический адрес, почтовый адрес, ИНН </w:t>
      </w:r>
      <w:r>
        <w:rPr>
          <w:rStyle w:val="Style14"/>
          <w:rFonts w:ascii="Times New Roman" w:hAnsi="Times New Roman"/>
          <w:b w:val="false"/>
          <w:szCs w:val="24"/>
        </w:rPr>
        <w:t>[для юридических лиц]</w:t>
      </w:r>
      <w:r>
        <w:rPr>
          <w:rFonts w:ascii="Times New Roman" w:hAnsi="Times New Roman"/>
          <w:i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паспортные данные, адрес регистрации, ИНН (при наличии) </w:t>
      </w:r>
      <w:r>
        <w:rPr>
          <w:rStyle w:val="Style14"/>
          <w:rFonts w:ascii="Times New Roman" w:hAnsi="Times New Roman"/>
          <w:b w:val="false"/>
          <w:szCs w:val="24"/>
        </w:rPr>
        <w:t>[для физических лиц]</w:t>
      </w:r>
      <w:r>
        <w:rPr>
          <w:rFonts w:ascii="Times New Roman" w:hAnsi="Times New Roman"/>
          <w:i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цену предложения в рублях (без </w:t>
      </w:r>
      <w:r>
        <w:rPr>
          <w:rFonts w:ascii="Times New Roman" w:hAnsi="Times New Roman"/>
        </w:rPr>
        <w:t xml:space="preserve">учета </w:t>
      </w:r>
      <w:r>
        <w:rPr>
          <w:rFonts w:ascii="Times New Roman" w:hAnsi="Times New Roman"/>
          <w:szCs w:val="24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/>
      </w:pPr>
      <w:r>
        <w:rPr>
          <w:rFonts w:ascii="Times New Roman" w:hAnsi="Times New Roman"/>
          <w:szCs w:val="24"/>
        </w:rPr>
        <w:t xml:space="preserve">Срок подачи технико-коммерческих предложений: до 10:00 ч. (МСК) </w:t>
      </w: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.2026.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Предложения должны быть направлены в виде сканированной электронной копии в адрес Электронная площадка: </w:t>
      </w:r>
      <w:hyperlink r:id="rId4">
        <w:r>
          <w:rPr>
            <w:rStyle w:val="Hyperlink"/>
            <w:rFonts w:ascii="Times New Roman" w:hAnsi="Times New Roman"/>
            <w:szCs w:val="24"/>
          </w:rPr>
          <w:t>https://tender.lot-online.ru</w:t>
        </w:r>
      </w:hyperlink>
      <w:r>
        <w:rPr>
          <w:rFonts w:ascii="Times New Roman" w:hAnsi="Times New Roman"/>
          <w:szCs w:val="24"/>
        </w:rPr>
        <w:t>. Регламент ЭП, в соответствии с которым проводится закупка, размещен по адресу: https://tender.lot-online.ru/app/EtpDocList/pag</w:t>
      </w:r>
      <w:r>
        <w:rPr>
          <w:rFonts w:ascii="Times New Roman" w:hAnsi="Times New Roman"/>
          <w:b/>
          <w:szCs w:val="24"/>
        </w:rPr>
        <w:t>e.</w:t>
      </w:r>
      <w:r>
        <w:rPr>
          <w:rFonts w:ascii="Times New Roman" w:hAnsi="Times New Roman"/>
          <w:szCs w:val="24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709" w:leader="none"/>
          <w:tab w:val="left" w:pos="851" w:leader="none"/>
        </w:tabs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  <w:tab w:val="left" w:pos="851" w:leader="none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709" w:leader="none"/>
        </w:tabs>
        <w:ind w:right="-16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right="-16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right="-16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right="-16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-166" w:hanging="0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Хованова М.В.</w:t>
      </w:r>
    </w:p>
    <w:p>
      <w:pPr>
        <w:pStyle w:val="Normal"/>
        <w:ind w:right="-166" w:hanging="0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8 390 427-1</w:t>
      </w: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20</w:t>
      </w:r>
    </w:p>
    <w:p>
      <w:pPr>
        <w:pStyle w:val="Normal"/>
        <w:ind w:right="-166" w:hanging="0"/>
        <w:rPr>
          <w:rFonts w:ascii="Times New Roman" w:hAnsi="Times New Roman"/>
          <w:szCs w:val="24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3940270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 w:customStyle="1">
    <w:name w:val="Strong1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2" w:customStyle="1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2" w:customStyle="1">
    <w:name w:val="Strong2"/>
    <w:qFormat/>
    <w:rPr>
      <w:b/>
      <w:bCs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1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11" w:customStyle="1">
    <w:name w:val="Стиль Заголовок 1 + по ширине"/>
    <w:basedOn w:val="Heading1"/>
    <w:qFormat/>
    <w:pPr>
      <w:numPr>
        <w:ilvl w:val="0"/>
        <w:numId w:val="2"/>
      </w:num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nbt.rushydro.ru/Planning/Program/View/408496?returnUrl=%2FPlanning%2FProgram%2FIndex_all%3Fnotnull%3DTrue%26page%3D1%26pageSize%3D50%26Filter.UserOrganizationType%3D2%26Filter.ExtendedFilterOpened%3DFalse%26Filter.UserOrganizationType%3D2%26Filter.tabIndex%3D0" TargetMode="External"/><Relationship Id="rId4" Type="http://schemas.openxmlformats.org/officeDocument/2006/relationships/hyperlink" Target="https://tender.lot-online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F6A1-0E21-4807-8438-2D010849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2</Pages>
  <Words>491</Words>
  <Characters>3461</Characters>
  <CharactersWithSpaces>3518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2026-06-25T01:37:00Z</dcterms:created>
  <dc:creator>Andrey Zhurin</dc:creator>
  <dc:description/>
  <dc:language>ru-RU</dc:language>
  <cp:lastModifiedBy>hovanovamv@corp.gidroogk.com</cp:lastModifiedBy>
  <cp:lastPrinted>2022-06-02T06:22:00Z</cp:lastPrinted>
  <dcterms:modified xsi:type="dcterms:W3CDTF">2026-06-25T08:42:13Z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