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069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pacing w:lineRule="auto" w:line="240"/>
        <w:ind w:left="5670" w:right="40"/>
        <w:rPr/>
      </w:pPr>
      <w:r>
        <w:rPr/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/>
        <w:jc w:val="center"/>
        <w:rPr>
          <w:b/>
        </w:rPr>
      </w:pPr>
      <w:r>
        <w:rPr>
          <w:b/>
        </w:rPr>
        <w:t>Технические требования на оказание услуг</w:t>
      </w:r>
    </w:p>
    <w:p>
      <w:pPr>
        <w:pStyle w:val="Normal"/>
        <w:widowControl w:val="false"/>
        <w:spacing w:lineRule="exact" w:line="331" w:before="0" w:after="263"/>
        <w:ind w:left="60"/>
        <w:jc w:val="center"/>
        <w:rPr>
          <w:sz w:val="24"/>
          <w:szCs w:val="24"/>
        </w:rPr>
      </w:pPr>
      <w:r>
        <w:rPr>
          <w:sz w:val="24"/>
          <w:szCs w:val="24"/>
        </w:rPr>
        <w:t>ОКПД 2: 49.41.20.000 Оказание услуг по предоставлению спецтехники с экипажем для нужд        Северо – Кавказского филиала</w:t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p>
      <w:pPr>
        <w:pStyle w:val="19"/>
        <w:shd w:val="clear" w:color="auto" w:fill="auto"/>
        <w:spacing w:lineRule="auto" w:line="240"/>
        <w:ind w:left="60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color w:val="000000"/>
            </w:rPr>
          </w:pPr>
          <w:r>
            <w:rPr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vanish w:val="false"/>
            </w:rPr>
            <w:fldChar w:fldCharType="separate"/>
          </w:r>
          <w:hyperlink w:anchor="_Toc147310303">
            <w:r>
              <w:rPr>
                <w:webHidden/>
                <w:rStyle w:val="Style17"/>
                <w:vanish w:val="false"/>
              </w:rPr>
              <w:t>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04">
            <w:r>
              <w:rPr>
                <w:webHidden/>
                <w:rStyle w:val="Style17"/>
                <w:iCs/>
                <w:vanish w:val="false"/>
              </w:rPr>
              <w:t>1.1.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05">
            <w:r>
              <w:rPr>
                <w:webHidden/>
                <w:rStyle w:val="Style17"/>
                <w:iCs/>
                <w:vanish w:val="false"/>
              </w:rPr>
              <w:t>1.2.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Наименование закупаемой продукции.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06">
            <w:r>
              <w:rPr>
                <w:webHidden/>
                <w:rStyle w:val="Style17"/>
                <w:iCs/>
                <w:vanish w:val="false"/>
              </w:rPr>
              <w:t>1.3.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>
              <w:rFonts w:eastAsia="新細明體" w:eastAsiaTheme="minorEastAsia"/>
              <w:sz w:val="20"/>
              <w:szCs w:val="20"/>
            </w:rPr>
            <w:t>1.4      Существующее положение ………………………………………………………………………………….</w:t>
            <w:tab/>
            <w:t>………3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7310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1. Перечень объектов заказчика.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09">
            <w:r>
              <w:rPr>
                <w:webHidden/>
                <w:rStyle w:val="Style17"/>
                <w:iCs/>
                <w:vanish w:val="false"/>
              </w:rPr>
              <w:t>1.5.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Иные требования и сведения общего характера.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7310311">
            <w:r>
              <w:rPr>
                <w:webHidden/>
                <w:rStyle w:val="Style17"/>
                <w:vanish w:val="false"/>
              </w:rPr>
              <w:t>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12">
            <w:r>
              <w:rPr>
                <w:webHidden/>
                <w:rStyle w:val="Style17"/>
                <w:iCs/>
                <w:vanish w:val="false"/>
              </w:rPr>
              <w:t>2.1.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13">
            <w:r>
              <w:rPr>
                <w:webHidden/>
                <w:rStyle w:val="Style17"/>
                <w:iCs/>
                <w:vanish w:val="false"/>
              </w:rPr>
              <w:t>2.1.1.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7310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47310315">
            <w:r>
              <w:rPr>
                <w:webHidden/>
                <w:rStyle w:val="Style17"/>
                <w:vanish w:val="false"/>
              </w:rPr>
              <w:t>2.1.2.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73103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/>
          </w:pPr>
          <w:hyperlink w:anchor="_Toc147310317">
            <w:r>
              <w:rPr>
                <w:webHidden/>
                <w:rStyle w:val="Style17"/>
                <w:iCs/>
                <w:vanish w:val="false"/>
              </w:rPr>
              <w:t>2.2.</w:t>
            </w:r>
            <w:r>
              <w:rPr>
                <w:rStyle w:val="Style17"/>
                <w:rFonts w:eastAsia="新細明體" w:cs="Arial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73103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_Toc147310318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rPr>
          <w:sz w:val="24"/>
          <w:szCs w:val="24"/>
        </w:rPr>
      </w:pPr>
      <w:r>
        <w:br w:type="page"/>
      </w:r>
      <w:bookmarkStart w:id="0" w:name="_Toc147310303"/>
      <w:bookmarkStart w:id="1" w:name="_Toc5464369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2"/>
        <w:ind w:left="0"/>
        <w:rPr/>
      </w:pPr>
      <w:r>
        <w:rPr/>
        <w:t xml:space="preserve">1.1 </w:t>
      </w:r>
      <w:bookmarkStart w:id="2" w:name="_Toc46743505"/>
      <w:bookmarkStart w:id="3" w:name="_Toc147310304"/>
      <w:bookmarkStart w:id="4" w:name="_Toc54643695"/>
      <w:r>
        <w:rPr/>
        <w:t>Обозначения и сокращения</w:t>
      </w:r>
      <w:bookmarkEnd w:id="2"/>
      <w:bookmarkEnd w:id="3"/>
      <w:bookmarkEnd w:id="4"/>
    </w:p>
    <w:tbl>
      <w:tblPr>
        <w:tblW w:w="10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1"/>
        <w:gridCol w:w="6208"/>
      </w:tblGrid>
      <w:tr>
        <w:trPr>
          <w:cantSplit w:val="true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Горюче-смазочные материалы</w:t>
            </w:r>
          </w:p>
        </w:tc>
      </w:tr>
      <w:tr>
        <w:trPr>
          <w:trHeight w:val="434" w:hRule="atLeast"/>
          <w:cantSplit w:val="true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9"/>
              <w:shd w:val="clear" w:color="auto" w:fill="auto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shd w:val="clear" w:color="auto" w:fill="auto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КМУ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Крано-манипуляторная установка</w:t>
            </w:r>
          </w:p>
        </w:tc>
      </w:tr>
      <w:tr>
        <w:trPr>
          <w:cantSplit w:val="true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</w:tbl>
    <w:p>
      <w:pPr>
        <w:pStyle w:val="Normal"/>
        <w:rPr>
          <w:sz w:val="24"/>
          <w:szCs w:val="24"/>
          <w:highlight w:val="yellow"/>
          <w:lang w:eastAsia="x-none"/>
        </w:rPr>
      </w:pPr>
      <w:r>
        <w:rPr>
          <w:sz w:val="24"/>
          <w:szCs w:val="24"/>
          <w:highlight w:val="yellow"/>
          <w:lang w:eastAsia="x-none"/>
        </w:rPr>
      </w:r>
    </w:p>
    <w:p>
      <w:pPr>
        <w:pStyle w:val="Heading2"/>
        <w:ind w:left="0"/>
        <w:jc w:val="left"/>
        <w:rPr/>
      </w:pPr>
      <w:r>
        <w:rPr/>
        <w:t xml:space="preserve">1.2 </w:t>
      </w:r>
      <w:bookmarkStart w:id="5" w:name="_Toc147310305"/>
      <w:bookmarkStart w:id="6" w:name="_Toc54643696"/>
      <w:bookmarkStart w:id="7" w:name="_Toc46743506"/>
      <w:r>
        <w:rPr/>
        <w:t>Наименование закупаемой продукции</w:t>
      </w:r>
      <w:bookmarkEnd w:id="6"/>
      <w:bookmarkEnd w:id="7"/>
      <w:r>
        <w:rPr>
          <w:lang w:val="ru-RU"/>
        </w:rPr>
        <w:t>.</w:t>
      </w:r>
      <w:bookmarkEnd w:id="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ОКПД 2: 49.41.20.000 Оказание услуг по предоставлению спецтехники с экипажем для нужд Северо – Кавказского филиала.</w:t>
      </w:r>
    </w:p>
    <w:p>
      <w:pPr>
        <w:pStyle w:val="Heading2"/>
        <w:ind w:left="0"/>
        <w:jc w:val="left"/>
        <w:rPr/>
      </w:pPr>
      <w:r>
        <w:rPr/>
        <w:t xml:space="preserve">1.3 </w:t>
      </w:r>
      <w:bookmarkStart w:id="8" w:name="_Toc46743507"/>
      <w:r>
        <w:rPr/>
        <w:t>Цель оказания услуг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Целью является обеспечение Северо-Кавказского филиала АО «Гидроремонт-ВКК» в. с. Заюкого, спецтехникой с экипажем для выполнения работ в рамках доходного договора, заключенного между Филиалом ПАО «РусГидро»-«Северо-Осетинский филиал» и АО «Гидроремонт-ВКК» № 1320-327-2023 от 21.12.2023 Техническое обслуживание оборудования, зданий, сооружений филиала ПАО «РусГидро» - «Северо-Осетинский филиал».</w:t>
      </w:r>
    </w:p>
    <w:p>
      <w:pPr>
        <w:pStyle w:val="Heading2"/>
        <w:ind w:left="0"/>
        <w:rPr/>
      </w:pPr>
      <w:r>
        <w:rPr/>
        <w:t>1.4.Существующее положение</w:t>
      </w:r>
    </w:p>
    <w:p>
      <w:pPr>
        <w:pStyle w:val="Heading2"/>
        <w:ind w:left="0"/>
        <w:rPr/>
      </w:pPr>
      <w:r>
        <w:rPr/>
        <w:t xml:space="preserve">1.4.1. </w:t>
      </w:r>
      <w:r>
        <w:rPr>
          <w:b w:val="false"/>
          <w:bCs w:val="false"/>
        </w:rPr>
        <w:t>Заказчик:</w:t>
      </w:r>
      <w:r>
        <w:rPr/>
        <w:t xml:space="preserve"> </w:t>
      </w:r>
    </w:p>
    <w:p>
      <w:pPr>
        <w:pStyle w:val="Heading2"/>
        <w:ind w:left="0"/>
        <w:rPr>
          <w:b w:val="false"/>
          <w:bCs w:val="false"/>
        </w:rPr>
      </w:pPr>
      <w:r>
        <w:rPr>
          <w:b w:val="false"/>
          <w:bCs w:val="false"/>
        </w:rPr>
        <w:t xml:space="preserve">АО «Гидроремонт-ВКК», 603140, Нижегородская область, г.о. город Нижний Новгород, г. Нижний Новгород, пер. Мотальный, д. 8, помещ. ВП31, офис С1А </w:t>
      </w:r>
    </w:p>
    <w:p>
      <w:pPr>
        <w:pStyle w:val="Heading2"/>
        <w:ind w:left="0"/>
        <w:rPr>
          <w:b w:val="false"/>
          <w:bCs w:val="false"/>
        </w:rPr>
      </w:pPr>
      <w:r>
        <w:rPr>
          <w:b w:val="false"/>
          <w:bCs w:val="false"/>
        </w:rPr>
        <w:t>Северо-Кавказский филиал АО «Гидроремонт-ВКК» с. Заюково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Адрес филиала: 361523, Кабардино-Балкарская Республика, Баксанский м. р-н, с.п. Заюково, ул. Кирова, д 546, литер А. 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>Таблица 1. Перечень объектов заказчика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  <w:bookmarkStart w:id="9" w:name="_Toc54643697_Копия_1"/>
      <w:bookmarkStart w:id="10" w:name="_Toc147310306_Копия_1"/>
      <w:bookmarkStart w:id="11" w:name="_Toc54643697_Копия_1"/>
      <w:bookmarkStart w:id="12" w:name="_Toc147310306_Копия_1"/>
      <w:bookmarkEnd w:id="8"/>
      <w:bookmarkEnd w:id="11"/>
      <w:bookmarkEnd w:id="12"/>
    </w:p>
    <w:tbl>
      <w:tblPr>
        <w:tblW w:w="1017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8"/>
        <w:gridCol w:w="2282"/>
        <w:gridCol w:w="3324"/>
        <w:gridCol w:w="4008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hanging="6" w:left="284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 w:left="284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Эзминская ГЭС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РСО-Алания, с. Чми, 1,5 км от южного выезда из с. Чми, р. Терек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Эзминская ГЭС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Гизельдонская ГЭС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РСО-Алания, г. Владикавказ, Пригородный район, с.Кобан</w:t>
            </w:r>
            <w:r>
              <w:rPr>
                <w:sz w:val="24"/>
                <w:szCs w:val="24"/>
                <w:lang w:eastAsia="x-none"/>
              </w:rPr>
              <w:t>, ГУ с Даргавс база Кахтисар</w:t>
            </w:r>
          </w:p>
        </w:tc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Гизельдонская ГЭС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Дзауджикауская ГЭС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РСО-Алания, г. Владикавказ, ул.В. Абаева №63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Дзауджикауская ГЭС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Головная Зарамагская ГЭС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РСО-Алания, Алагирский район, п. Н.Зарамаг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Головная Зарамагская ГЭС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x-none"/>
              </w:rPr>
              <w:t>Зарамагская ГЭС-1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РСО-Алания, Алагирский район, п. Мизур, Зарамагская ГЭС</w:t>
            </w:r>
          </w:p>
          <w:p>
            <w:pPr>
              <w:pStyle w:val="Normal"/>
              <w:widowControl w:val="false"/>
              <w:ind w:hanging="6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x-none"/>
              </w:rPr>
              <w:t>Зарамагская ГЭС-1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hanging="279"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Павлодольская ГЭС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РСО-Алания, Моздокский район, ст. Павлодольская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Павлодольская ГЭС</w:t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ind w:left="0"/>
        <w:rPr/>
      </w:pPr>
      <w:r>
        <w:rPr/>
        <w:t>1.5. Иные требования и сведения общего характера</w:t>
      </w:r>
    </w:p>
    <w:p>
      <w:pPr>
        <w:pStyle w:val="Heading2"/>
        <w:ind w:left="0"/>
        <w:rPr/>
      </w:pPr>
      <w:r>
        <w:rPr>
          <w:rStyle w:val="Strong"/>
          <w:b/>
          <w:lang w:val="ru-RU"/>
        </w:rPr>
        <w:t>1.5.1. 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 один час. Доставка специализированной техники до места работы не оплачивается Заказчиком.</w:t>
      </w:r>
    </w:p>
    <w:p>
      <w:pPr>
        <w:pStyle w:val="Normal"/>
        <w:jc w:val="both"/>
        <w:rPr/>
      </w:pPr>
      <w:r>
        <w:rPr>
          <w:rStyle w:val="Strong"/>
          <w:sz w:val="24"/>
          <w:szCs w:val="24"/>
        </w:rPr>
        <w:t xml:space="preserve">1.5.2.    </w:t>
      </w:r>
      <w:r>
        <w:rPr>
          <w:rStyle w:val="Strong"/>
          <w:b w:val="false"/>
          <w:bCs w:val="false"/>
          <w:sz w:val="24"/>
          <w:szCs w:val="24"/>
        </w:rPr>
        <w:t xml:space="preserve">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договора). Заказчик планирует использовать (применять) СТ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ПС в соответствии с номенклатурой (согласно табл.2.) в случае отсутствия необходимости.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bookmarkStart w:id="13" w:name="_Toc147310311"/>
      <w:bookmarkStart w:id="14" w:name="_Toc54643702"/>
      <w:bookmarkStart w:id="15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3"/>
      <w:bookmarkEnd w:id="14"/>
      <w:bookmarkEnd w:id="15"/>
    </w:p>
    <w:p>
      <w:pPr>
        <w:pStyle w:val="Heading2"/>
        <w:spacing w:lineRule="atLeast" w:line="283"/>
        <w:ind w:left="0"/>
        <w:rPr/>
      </w:pPr>
      <w:r>
        <w:rPr/>
        <w:t xml:space="preserve">2.1. </w:t>
      </w:r>
      <w:bookmarkStart w:id="16" w:name="_Toc54643703"/>
      <w:bookmarkStart w:id="17" w:name="_Toc14731031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  <w:bookmarkEnd w:id="17"/>
    </w:p>
    <w:p>
      <w:pPr>
        <w:pStyle w:val="Heading2"/>
        <w:spacing w:lineRule="atLeast" w:line="283"/>
        <w:ind w:left="0"/>
        <w:rPr/>
      </w:pPr>
      <w:r>
        <w:rPr/>
        <w:t xml:space="preserve">2.1.1 </w:t>
      </w:r>
      <w:bookmarkStart w:id="18" w:name="_Toc147310313"/>
      <w:bookmarkStart w:id="19" w:name="_Toc54643704"/>
      <w:r>
        <w:rPr/>
        <w:t>Требования к перечню и объему услуг</w:t>
      </w:r>
      <w:bookmarkEnd w:id="18"/>
      <w:bookmarkEnd w:id="19"/>
    </w:p>
    <w:p>
      <w:pPr>
        <w:pStyle w:val="Normal"/>
        <w:spacing w:lineRule="atLeast" w:line="283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283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2. Перечень и объем оказываемых услуг</w:t>
      </w:r>
    </w:p>
    <w:p>
      <w:pPr>
        <w:pStyle w:val="Normal"/>
        <w:spacing w:lineRule="atLeast" w:line="2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83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674"/>
        <w:gridCol w:w="5156"/>
        <w:gridCol w:w="2607"/>
        <w:gridCol w:w="1706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49.41.20.000 Оказание услуг по предоставлению спецтехники с экипажем для нужд Северо – Кавказского филиала (в соответствии с перечнем спецтехники)*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Style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tLeast" w:line="2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83"/>
        <w:rPr>
          <w:sz w:val="24"/>
          <w:szCs w:val="24"/>
        </w:rPr>
      </w:pPr>
      <w:r>
        <w:rPr>
          <w:b/>
          <w:bCs/>
          <w:sz w:val="24"/>
          <w:szCs w:val="24"/>
        </w:rPr>
        <w:t>* Перечень спецтехники</w:t>
      </w:r>
    </w:p>
    <w:p>
      <w:pPr>
        <w:pStyle w:val="Heading1"/>
        <w:spacing w:lineRule="atLeast" w:line="283"/>
        <w:rPr/>
      </w:pPr>
      <w:r>
        <w:rPr/>
      </w:r>
      <w:bookmarkStart w:id="20" w:name="_Toc51339695"/>
      <w:bookmarkStart w:id="21" w:name="_Toc147310314"/>
      <w:bookmarkStart w:id="22" w:name="_Toc54643705"/>
      <w:bookmarkStart w:id="23" w:name="_Toc51339695"/>
      <w:bookmarkStart w:id="24" w:name="_Toc147310314"/>
      <w:bookmarkStart w:id="25" w:name="_Toc54643705"/>
      <w:bookmarkEnd w:id="23"/>
      <w:bookmarkEnd w:id="24"/>
      <w:bookmarkEnd w:id="25"/>
    </w:p>
    <w:tbl>
      <w:tblPr>
        <w:tblW w:w="1006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3"/>
        <w:gridCol w:w="2951"/>
        <w:gridCol w:w="2450"/>
        <w:gridCol w:w="2213"/>
        <w:gridCol w:w="1827"/>
      </w:tblGrid>
      <w:tr>
        <w:trPr>
          <w:trHeight w:val="72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Минимальная продолжительность заявки машино/час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351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Автосамосвал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грузоподъемность не менее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грузоподъемность до 25 т с </w:t>
            </w:r>
            <w:r>
              <w:rPr>
                <w:bCs/>
                <w:color w:val="000000" w:themeColor="text1"/>
                <w:sz w:val="24"/>
                <w:szCs w:val="24"/>
                <w:shd w:fill="FFFFFF" w:val="clear"/>
              </w:rPr>
              <w:t>колесной</w:t>
            </w:r>
            <w:r>
              <w:rPr>
                <w:color w:val="000000" w:themeColor="text1"/>
                <w:sz w:val="24"/>
                <w:szCs w:val="24"/>
                <w:shd w:fill="FFFFFF" w:val="clear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  <w:shd w:fill="FFFFFF" w:val="clear"/>
              </w:rPr>
              <w:t>формулой</w:t>
            </w:r>
            <w:r>
              <w:rPr>
                <w:color w:val="000000" w:themeColor="text1"/>
                <w:sz w:val="24"/>
                <w:szCs w:val="24"/>
                <w:shd w:fill="FFFFFF" w:val="clear"/>
              </w:rPr>
              <w:t> 6х6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Автомобиль бортовой</w:t>
            </w:r>
            <w:r>
              <w:rPr>
                <w:sz w:val="24"/>
                <w:szCs w:val="24"/>
                <w:lang w:val="en-US"/>
              </w:rPr>
              <w:t xml:space="preserve"> с КМУ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грузоподъемность КМУ до 7 т, платформа не менее 6х2.5м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Экскаватор-погрузчик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>ощность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63 кВт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максимальный объем ковша для копания 0,3 м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600" w:leader="none"/>
              </w:tabs>
              <w:ind w:left="33"/>
              <w:rPr>
                <w:color w:val="000000" w:themeColor="text1"/>
                <w:sz w:val="24"/>
                <w:szCs w:val="24"/>
                <w:shd w:fill="F8F9FA" w:val="clear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 xml:space="preserve">максимальный объем ковша для погрузки (фронтальный) </w:t>
            </w:r>
            <w:r>
              <w:rPr>
                <w:color w:val="000000" w:themeColor="text1"/>
                <w:sz w:val="24"/>
                <w:szCs w:val="24"/>
                <w:shd w:fill="F8F9FA" w:val="clear"/>
              </w:rPr>
              <w:t>1м</w:t>
            </w:r>
            <w:r>
              <w:rPr>
                <w:color w:val="000000" w:themeColor="text1"/>
                <w:sz w:val="24"/>
                <w:szCs w:val="24"/>
                <w:shd w:fill="F8F9FA" w:val="clear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ширина ковша для погрузки не менее 2м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Экскаватор гусеничный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color w:val="000000"/>
                <w:sz w:val="24"/>
                <w:szCs w:val="24"/>
                <w:shd w:fill="F8F9FA" w:val="clear"/>
                <w:vertAlign w:val="superscript"/>
              </w:rPr>
            </w:pPr>
            <w:r>
              <w:rPr>
                <w:color w:val="000000"/>
                <w:sz w:val="24"/>
                <w:szCs w:val="24"/>
                <w:shd w:fill="F8F9FA" w:val="clear"/>
              </w:rPr>
              <w:t>объём ковша не менее 1м</w:t>
            </w:r>
            <w:r>
              <w:rPr>
                <w:color w:val="000000"/>
                <w:sz w:val="24"/>
                <w:szCs w:val="24"/>
                <w:shd w:fill="F8F9FA" w:val="clear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 не менее 163 кВт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Экскаватор на колёсном ходу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color w:val="000000"/>
                <w:sz w:val="24"/>
                <w:szCs w:val="24"/>
                <w:shd w:fill="F8F9FA" w:val="clear"/>
                <w:vertAlign w:val="superscript"/>
              </w:rPr>
            </w:pPr>
            <w:r>
              <w:rPr>
                <w:color w:val="000000"/>
                <w:sz w:val="24"/>
                <w:szCs w:val="24"/>
                <w:shd w:fill="F8F9FA" w:val="clear"/>
              </w:rPr>
              <w:t>объём ковша не менее 1м</w:t>
            </w:r>
            <w:r>
              <w:rPr>
                <w:color w:val="000000"/>
                <w:sz w:val="24"/>
                <w:szCs w:val="24"/>
                <w:shd w:fill="F8F9FA" w:val="clear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</w:t>
            </w:r>
            <w:r>
              <w:rPr>
                <w:color w:val="000000"/>
                <w:sz w:val="24"/>
                <w:szCs w:val="24"/>
              </w:rPr>
              <w:t>ощность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не менее </w:t>
            </w:r>
            <w:r>
              <w:rPr>
                <w:color w:val="000000"/>
                <w:sz w:val="24"/>
                <w:szCs w:val="24"/>
              </w:rPr>
              <w:t>163 кВт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Мини-экскаватор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 xml:space="preserve">максимальная глубина копания 3.8м мм, объём ковша не менее 0,21 </w:t>
            </w:r>
            <w:r>
              <w:rPr>
                <w:color w:val="000000" w:themeColor="text1"/>
                <w:sz w:val="24"/>
                <w:szCs w:val="24"/>
                <w:shd w:fill="F8F9FA" w:val="clear"/>
              </w:rPr>
              <w:t>м</w:t>
            </w:r>
            <w:r>
              <w:rPr>
                <w:color w:val="000000" w:themeColor="text1"/>
                <w:sz w:val="24"/>
                <w:szCs w:val="24"/>
                <w:shd w:fill="F8F9FA" w:val="clear"/>
                <w:vertAlign w:val="superscript"/>
              </w:rPr>
              <w:t>3</w:t>
            </w:r>
            <w:r>
              <w:rPr>
                <w:color w:val="000000" w:themeColor="text1"/>
                <w:sz w:val="24"/>
                <w:szCs w:val="24"/>
                <w:shd w:fill="FFFFFF" w:val="clear"/>
              </w:rPr>
              <w:t xml:space="preserve"> резиновые гусеницы шириной до 400 мм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Трал для перевозки спецтехники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грузоподъемность не менее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25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</w:tr>
      <w:tr>
        <w:trPr>
          <w:trHeight w:val="269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hanging="183" w:lef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Бульдозер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iCs/>
                <w:color w:val="000000" w:themeColor="text1"/>
                <w:sz w:val="24"/>
                <w:szCs w:val="21"/>
                <w:shd w:fill="FFFFFF" w:val="clear"/>
              </w:rPr>
            </w:pPr>
            <w:r>
              <w:rPr>
                <w:iCs/>
                <w:color w:val="000000" w:themeColor="text1"/>
                <w:sz w:val="24"/>
                <w:szCs w:val="21"/>
                <w:shd w:fill="FFFFFF" w:val="clear"/>
                <w:lang w:val="en-US"/>
              </w:rPr>
              <w:t xml:space="preserve">Мощность не менее </w:t>
            </w:r>
            <w:r>
              <w:rPr>
                <w:iCs/>
                <w:color w:val="000000" w:themeColor="text1"/>
                <w:sz w:val="24"/>
                <w:szCs w:val="21"/>
                <w:shd w:fill="FFFFFF" w:val="clear"/>
              </w:rPr>
              <w:t>95 кВт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left="3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1"/>
                <w:shd w:fill="FFFFFF" w:val="clear"/>
              </w:rPr>
              <w:t xml:space="preserve">объем отвала не менее 3,4 </w:t>
            </w:r>
            <w:r>
              <w:rPr>
                <w:color w:val="000000" w:themeColor="text1"/>
                <w:sz w:val="24"/>
                <w:szCs w:val="24"/>
                <w:shd w:fill="F8F9FA" w:val="clear"/>
              </w:rPr>
              <w:t>м</w:t>
            </w:r>
            <w:r>
              <w:rPr>
                <w:color w:val="000000" w:themeColor="text1"/>
                <w:sz w:val="32"/>
                <w:szCs w:val="24"/>
                <w:shd w:fill="F8F9FA" w:val="clear"/>
                <w:vertAlign w:val="superscript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ind w:left="0"/>
        <w:jc w:val="left"/>
        <w:rPr/>
      </w:pPr>
      <w:bookmarkStart w:id="26" w:name="_Toc147310315"/>
      <w:r>
        <w:rPr/>
        <w:t>2.1.2. Требования к срокам оказания услуг</w:t>
      </w:r>
      <w:bookmarkEnd w:id="26"/>
    </w:p>
    <w:p>
      <w:pPr>
        <w:pStyle w:val="Heading1"/>
        <w:ind w:left="0"/>
        <w:rPr>
          <w:sz w:val="24"/>
          <w:szCs w:val="24"/>
          <w:lang w:val="ru-RU"/>
        </w:rPr>
      </w:pPr>
      <w:bookmarkStart w:id="27" w:name="_Toc147310316"/>
      <w:bookmarkStart w:id="28" w:name="_Toc54643707"/>
      <w:bookmarkStart w:id="29" w:name="_Toc51339697"/>
      <w:bookmarkStart w:id="30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9"/>
      <w:bookmarkEnd w:id="30"/>
      <w:bookmarkEnd w:id="31"/>
      <w:r>
        <w:rPr>
          <w:sz w:val="24"/>
          <w:szCs w:val="24"/>
          <w:lang w:val="ru-RU"/>
        </w:rPr>
        <w:t>оказания услуг</w:t>
      </w:r>
      <w:bookmarkEnd w:id="27"/>
      <w:bookmarkEnd w:id="28"/>
    </w:p>
    <w:tbl>
      <w:tblPr>
        <w:tblW w:w="1006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3971"/>
        <w:gridCol w:w="2416"/>
        <w:gridCol w:w="3113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услуг*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49.41.20.000 Оказание услуг по предоставлению спецтехники с экипажем для нужд Северо – Кавказского филиала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31.12.2027</w:t>
            </w:r>
            <w:bookmarkStart w:id="32" w:name="_GoBack"/>
            <w:bookmarkEnd w:id="32"/>
            <w:r>
              <w:rPr>
                <w:sz w:val="24"/>
                <w:szCs w:val="24"/>
              </w:rPr>
              <w:t>г.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* Согласно календарных графиков выполнения работ, в рамках доходного договора, указанного в пункте 1.3 ТТ</w:t>
      </w:r>
    </w:p>
    <w:p>
      <w:pPr>
        <w:pStyle w:val="Heading2"/>
        <w:ind w:left="0"/>
        <w:rPr/>
      </w:pPr>
      <w:bookmarkStart w:id="33" w:name="_Toc147310317"/>
      <w:r>
        <w:rPr>
          <w:lang w:val="ru-RU"/>
        </w:rPr>
        <w:t>2.2.</w:t>
      </w:r>
      <w:r>
        <w:rPr/>
        <w:t xml:space="preserve">Требования к </w:t>
      </w:r>
      <w:r>
        <w:rPr>
          <w:lang w:val="ru-RU"/>
        </w:rPr>
        <w:t>качеству услуг</w:t>
      </w:r>
      <w:bookmarkEnd w:id="33"/>
    </w:p>
    <w:p>
      <w:pPr>
        <w:pStyle w:val="Heading1"/>
        <w:ind w:left="0"/>
        <w:rPr>
          <w:sz w:val="24"/>
          <w:szCs w:val="24"/>
        </w:rPr>
      </w:pPr>
      <w:bookmarkStart w:id="34" w:name="_Toc14731031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color w:val="000000" w:themeColor="text1"/>
          <w:sz w:val="24"/>
          <w:szCs w:val="24"/>
        </w:rPr>
        <w:t>в соответствии с Таблицей 2  ТТ «Перечень оказываемых услуг»</w:t>
      </w:r>
      <w:r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affffa"/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7"/>
        <w:gridCol w:w="4103"/>
        <w:gridCol w:w="5398"/>
      </w:tblGrid>
      <w:tr>
        <w:trPr>
          <w:trHeight w:val="580" w:hRule="atLeast"/>
        </w:trPr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9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3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firstLine="142" w:left="-117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использования ТС</w:t>
            </w:r>
          </w:p>
        </w:tc>
        <w:tc>
          <w:tcPr>
            <w:tcW w:w="5398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планирует использовать (применять) СТ в соответствии с Таблицей 2 ТТ «Перечень и объем оказываемых услуг»  и продолжительностью применения, указанной в подаваемых заявках.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этом Заказчик оставляет за собой право исполнить договор не в полном объёме и не применять какую-либо из перечисленной СТ в случае отсутствия необходимости.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5398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Планируемый объем и место оказания услуг указывается в подаваемых Заказчиком в заявках.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расходы, связанные с эксплуатацией СТ, включая, расходы на заработную плату водителей (машинистов), оплату топлива, горюче-смазочных материалов и эксплуатационных жидкостей, оплату ремонта и запасных частей, налоговых пошлин, страховых сборов, штрафов, и иных расходов, возникающих в связи с эксплуатацией СТ в рамках Договора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транспортным средствам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ТС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 должна  предоставляться в исправном состоянии вместе с экипажем (водителями);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находиться в технически исправном состоянии и с необходимой документацией (в т.ч. путевым листом).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быть укомплектованы необходимыми вспомогательными средствами: огнетушителем, аварийным знаком, аптечкой с медикаментами.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обслуживающего  СТ персонала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использовании СТ в электроустановках (ОРУ, освещение, охранная зона ВЛ и т.п) у водителей (или машинистов и.т.д.) необходимо наличие действующего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5398" w:type="dxa"/>
            <w:tcBorders>
              <w:top w:val="nil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Лица, управляющие СТ, должны иметь действующие квалификационные удостоверения на работу с ПС в действующих электроустановках и водительское удостоверение с разрешенной категорией.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Во время оказания услуг должны соблюдать правила и инструкций по охране труда, безопасности дорожного движения, пожарной и электробезопасности,  производственную и трудовую дисциплину.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108" w:left="10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 СТ производится по факту отработанного времени, указанному в  путевых листах, подписанных Заказчиком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подъемные сооружения (согласно Таблицы 2. Перечень и объем оказываемых услуг), должен иметь персонал (в том числе и ответственных лиц) и подъемные сооружения, соответствующие с Приказу Ростехнадзора от 26.11.2020 N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 с приложением путевых листов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 обязан оформлять путевые листы в соответствии с требованиями статьи 6 Федерального закона № 259-ФЗ от 08.11.2007 г. «Устав автомобильного транспорта и городского наземного электрического транспорта» (с изменениями и дополнениями).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hanging="360" w:left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закупке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сдачи-приемки Услуг должен быть предоставлен Исполнителем по окончании отчетного месяца, в  котором были оказаны услуги в 2-х экземплярах с приложением путевых листов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представить Заказчику счет-фактуру в течение 5 (пяти) календарных дней с даты подписания Сторонами Акта сдачи-приемки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left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на автомобильном транспорте (утв. приказом Минтруда России от 18.12.2020 №871н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Санитарные правила и нормы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(утв. постановлением Главного государственного санитарного врача Российской Федерации от 28 января 2021 года N 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Законодательство РФ при эксплуатации, обслуживании и предоставлении СТ.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используемой для оказания услуг ТС в соответствии с настоящими техническими требованиями и действующими нормативными актами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невозможности предоставления СТ, согласованной в Заявке Исполнитель обязан незамедлительно уведомить об этом Заказчика и по согласованию с ним предоставить подменную СТ с аналогичными техническими характеристиками и на условиях, согласованных в Заявках. Время простоя, по причине неисправной техники, не оплачивается.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для исполнения договора должен иметь СТ в собственности или на праве аренды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 (смену; км)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bookmarkStart w:id="35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По каждой единице ТС является фиксированной на протяжении всего срока действия договора</w:t>
            </w:r>
            <w:bookmarkEnd w:id="35"/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 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22742433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40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1.4.%1"/>
      <w:lvlJc w:val="left"/>
      <w:pPr>
        <w:tabs>
          <w:tab w:val="num" w:pos="0"/>
        </w:tabs>
        <w:ind w:left="7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5"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2.2.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7">
    <w:lvl w:ilvl="0">
      <w:start w:val="1"/>
      <w:numFmt w:val="decimal"/>
      <w:lvlText w:val="2.4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2.3.%1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3ad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a4bb4"/>
    <w:pPr>
      <w:keepNext w:val="true"/>
      <w:tabs>
        <w:tab w:val="clear" w:pos="708"/>
        <w:tab w:val="left" w:pos="567" w:leader="none"/>
        <w:tab w:val="left" w:pos="851" w:leader="none"/>
      </w:tabs>
      <w:spacing w:before="120" w:after="0"/>
      <w:ind w:left="2836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a4bb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bd392a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hanging="567" w:left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4B89-BE8F-4612-B43C-16507A08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Application>AlterOffice/2026.2.0.0$Linux_X86_64 LibreOffice_project/bc4ef1adf80b36c7a6365f8ed6cbf29021361edd</Application>
  <AppVersion>15.0000</AppVersion>
  <Pages>8</Pages>
  <Words>1529</Words>
  <Characters>10042</Characters>
  <CharactersWithSpaces>11415</CharactersWithSpaces>
  <Paragraphs>257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2024-01-24T12:11:00Z</dcterms:created>
  <dc:creator>Быстров Олег Геннадьевич</dc:creator>
  <dc:description/>
  <dc:language>ru-RU</dc:language>
  <cp:lastModifiedBy>velikosvyatnn@corp.gidroogk.com</cp:lastModifiedBy>
  <cp:lastPrinted>2023-01-26T17:39:00Z</cp:lastPrinted>
  <dcterms:modified xsi:type="dcterms:W3CDTF">2026-07-03T08:52:09Z</dcterms:modified>
  <cp:revision>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