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 w:val="24"/>
          <w:szCs w:val="24"/>
        </w:rPr>
      </w:pPr>
      <w:bookmarkStart w:id="0" w:name="__RefHeading___Toc9303_1765658478"/>
      <w:bookmarkEnd w:id="0"/>
      <w:r>
        <w:rPr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ОКПД2 49.41.1 </w:t>
      </w:r>
      <w:r>
        <w:rPr>
          <w:rFonts w:eastAsia="Times New Roman"/>
          <w:b/>
          <w:bCs/>
          <w:color w:val="000000"/>
          <w:sz w:val="24"/>
          <w:szCs w:val="24"/>
          <w:shd w:fill="auto" w:val="clear"/>
          <w:lang w:val="ru-RU" w:eastAsia="ru-RU"/>
        </w:rPr>
        <w:t>Оказание услуг по предоставлению спецтехники с экипажем для выполнения работ на Усть-Среднеканской ГЭС для нужд Башкирского филиала</w:t>
      </w:r>
      <w:r>
        <w:br w:type="page"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keepLines/>
            <w:spacing w:before="480" w:after="60"/>
            <w:rPr>
              <w:rFonts w:ascii="Times New Roman" w:hAnsi="Times New Roman"/>
              <w:b/>
              <w:bCs/>
              <w:color w:val="000000"/>
            </w:rPr>
          </w:pPr>
          <w:r>
            <w:rPr>
              <w:rFonts w:ascii="Times New Roman" w:hAnsi="Times New Roman"/>
              <w:b/>
              <w:bCs/>
              <w:color w:val="000000"/>
            </w:rPr>
            <w:t>Содержание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5"/>
            </w:rPr>
            <w:instrText xml:space="preserve"> TOC \f \o "1-9" \h</w:instrText>
          </w:r>
          <w:r>
            <w:rPr>
              <w:rStyle w:val="Style15"/>
            </w:rPr>
            <w:fldChar w:fldCharType="separate"/>
          </w:r>
          <w:hyperlink w:anchor="__RefHeading___Toc9303_1765658478">
            <w:r>
              <w:rPr>
                <w:rStyle w:val="Style15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9305_1765658478">
            <w:r>
              <w:rPr>
                <w:rStyle w:val="Style15"/>
              </w:rPr>
              <w:t>1. Общие сведения.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307_1765658478">
            <w:r>
              <w:rPr>
                <w:rStyle w:val="Style15"/>
              </w:rPr>
              <w:t>1.1. Наименование закупаемой продукции.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309_1765658478">
            <w:r>
              <w:rPr>
                <w:rStyle w:val="Style15"/>
              </w:rPr>
              <w:t>1.2. Цель оказания услуг.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0_1765658478">
            <w:r>
              <w:rPr>
                <w:rStyle w:val="Style15"/>
              </w:rPr>
              <w:t>2. Требования к предоставляемым услугам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632_1765658478">
            <w:r>
              <w:rPr>
                <w:rStyle w:val="Style15"/>
              </w:rPr>
              <w:t>2.1.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34_1765658478">
            <w:r>
              <w:rPr>
                <w:rStyle w:val="Style15"/>
              </w:rPr>
              <w:t>2.1.1. Перечень и объем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36_1765658478">
            <w:r>
              <w:rPr>
                <w:rStyle w:val="Style15"/>
              </w:rPr>
              <w:t>Таблица 1. Перечень оказываемых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0_1765658478">
            <w:r>
              <w:rPr>
                <w:rStyle w:val="Style15"/>
              </w:rPr>
              <w:t>Таблица 2. Перечень и технические характеристики автотранспорта и спецтехники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2_1765658478">
            <w:r>
              <w:rPr>
                <w:rStyle w:val="Style15"/>
              </w:rPr>
              <w:t>2.1.2 Требование к срокам оказания услуг.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9311_1765658478">
            <w:r>
              <w:rPr>
                <w:rStyle w:val="Style15"/>
              </w:rPr>
              <w:t>Таблица 3. Требования к срокам оказания услуг.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44_1765658478">
            <w:r>
              <w:rPr>
                <w:rStyle w:val="Style15"/>
              </w:rPr>
              <w:t>2.2 Требования к качеству продукции</w:t>
              <w:tab/>
              <w:t>4</w:t>
            </w:r>
          </w:hyperlink>
          <w:r>
            <w:rPr>
              <w:rStyle w:val="Style15"/>
            </w:rPr>
            <w:fldChar w:fldCharType="end"/>
          </w:r>
        </w:p>
      </w:sdtContent>
    </w:sdt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numPr>
          <w:ilvl w:val="0"/>
          <w:numId w:val="6"/>
        </w:numPr>
        <w:tabs>
          <w:tab w:val="left" w:pos="0" w:leader="none"/>
          <w:tab w:val="left" w:pos="851" w:leader="none"/>
          <w:tab w:val="left" w:pos="993" w:leader="none"/>
          <w:tab w:val="left" w:pos="1701" w:leader="none"/>
        </w:tabs>
        <w:ind w:left="4253" w:right="0" w:hanging="0"/>
        <w:rPr>
          <w:sz w:val="24"/>
          <w:szCs w:val="24"/>
        </w:rPr>
      </w:pPr>
      <w:bookmarkStart w:id="1" w:name="__RefHeading___Toc9305_1765658478"/>
      <w:bookmarkStart w:id="2" w:name="_Toc54643694"/>
      <w:bookmarkEnd w:id="1"/>
      <w:bookmarkEnd w:id="2"/>
      <w:r>
        <w:rPr>
          <w:b/>
          <w:sz w:val="24"/>
          <w:szCs w:val="24"/>
        </w:rPr>
        <w:t>Общие сведения</w:t>
      </w:r>
      <w:r>
        <w:rPr>
          <w:b/>
          <w:sz w:val="24"/>
          <w:szCs w:val="24"/>
          <w:lang w:val="ru-RU"/>
        </w:rPr>
        <w:t>.</w:t>
      </w:r>
    </w:p>
    <w:p>
      <w:pPr>
        <w:pStyle w:val="Heading4"/>
        <w:numPr>
          <w:ilvl w:val="1"/>
          <w:numId w:val="6"/>
        </w:numPr>
        <w:tabs>
          <w:tab w:val="left" w:pos="0" w:leader="none"/>
          <w:tab w:val="left" w:pos="851" w:leader="none"/>
          <w:tab w:val="left" w:pos="993" w:leader="none"/>
          <w:tab w:val="left" w:pos="1701" w:leader="none"/>
        </w:tabs>
        <w:rPr>
          <w:sz w:val="24"/>
          <w:szCs w:val="24"/>
        </w:rPr>
      </w:pPr>
      <w:bookmarkStart w:id="3" w:name="__RefHeading___Toc9307_1765658478"/>
      <w:bookmarkStart w:id="4" w:name="_Toc46743505"/>
      <w:bookmarkStart w:id="5" w:name="_Toc54643695"/>
      <w:bookmarkStart w:id="6" w:name="_Toc46743506"/>
      <w:bookmarkStart w:id="7" w:name="_Toc54643696"/>
      <w:bookmarkEnd w:id="3"/>
      <w:bookmarkEnd w:id="4"/>
      <w:bookmarkEnd w:id="5"/>
      <w:bookmarkEnd w:id="6"/>
      <w:bookmarkEnd w:id="7"/>
      <w:r>
        <w:rPr>
          <w:b/>
        </w:rPr>
        <w:t>Наименование закупаемой продукции</w:t>
      </w:r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left="0" w:right="0" w:hanging="6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ab/>
        <w:t>ОКПД2 49.41.1 Оказание услуг по предоставлению спецтехники с экипажем для выполнения работ на Усть-Среднеканской ГЭС для нужд Башкирского филиала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left="0" w:right="0" w:hanging="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(далее- Услуги)</w:t>
      </w:r>
      <w:r>
        <w:rPr>
          <w:rFonts w:eastAsia="Calibri"/>
          <w:bCs/>
          <w:i/>
          <w:sz w:val="24"/>
          <w:szCs w:val="24"/>
          <w:lang w:eastAsia="x-none"/>
        </w:rPr>
        <w:t>.</w:t>
      </w:r>
    </w:p>
    <w:p>
      <w:pPr>
        <w:pStyle w:val="Heading4"/>
        <w:numPr>
          <w:ilvl w:val="1"/>
          <w:numId w:val="6"/>
        </w:numPr>
        <w:tabs>
          <w:tab w:val="left" w:pos="0" w:leader="none"/>
          <w:tab w:val="left" w:pos="851" w:leader="none"/>
          <w:tab w:val="left" w:pos="993" w:leader="none"/>
          <w:tab w:val="left" w:pos="1701" w:leader="none"/>
        </w:tabs>
        <w:spacing w:before="0" w:after="0"/>
        <w:ind w:left="0" w:right="0" w:hanging="0"/>
        <w:contextualSpacing/>
        <w:rPr>
          <w:sz w:val="24"/>
          <w:szCs w:val="24"/>
        </w:rPr>
      </w:pPr>
      <w:bookmarkStart w:id="8" w:name="__RefHeading___Toc9309_1765658478"/>
      <w:bookmarkStart w:id="9" w:name="_Toc46743507"/>
      <w:bookmarkStart w:id="10" w:name="_Toc54643697"/>
      <w:bookmarkEnd w:id="8"/>
      <w:bookmarkEnd w:id="9"/>
      <w:bookmarkEnd w:id="10"/>
      <w:r>
        <w:rPr>
          <w:b/>
        </w:rPr>
        <w:t>Цель оказания услуг.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Обеспечение Башкирского филиала АО «Гидроремонт-ВКК», спецтехникой с экипажем, в рамках исполнения договора по выполнению работ по ликвидации последствий оползания массива и повышению надёжной эксплуатации Усть-Среднеканской ГЭС.</w:t>
      </w:r>
    </w:p>
    <w:p>
      <w:pPr>
        <w:pStyle w:val="Heading4"/>
        <w:numPr>
          <w:ilvl w:val="0"/>
          <w:numId w:val="0"/>
        </w:numPr>
        <w:tabs>
          <w:tab w:val="left" w:pos="0" w:leader="none"/>
          <w:tab w:val="left" w:pos="851" w:leader="none"/>
          <w:tab w:val="left" w:pos="993" w:leader="none"/>
          <w:tab w:val="left" w:pos="1701" w:leader="none"/>
        </w:tabs>
        <w:spacing w:before="0" w:after="0"/>
        <w:ind w:left="0" w:right="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  <w:bookmarkStart w:id="11" w:name="_Toc54643698"/>
      <w:bookmarkStart w:id="12" w:name="_Toc54643701"/>
      <w:bookmarkStart w:id="13" w:name="_Toc54643699"/>
      <w:bookmarkStart w:id="14" w:name="_Toc46743508"/>
      <w:bookmarkStart w:id="15" w:name="_Toc46743509_Копия_2_Копия_2"/>
      <w:bookmarkStart w:id="16" w:name="_Hlk46492347_Копия_2_Копия_2"/>
      <w:bookmarkStart w:id="17" w:name="_Hlk46492347_Копия_2_Копия_2_Копия_1"/>
      <w:bookmarkStart w:id="18" w:name="_Toc54643700_Копия_2_Копия_2"/>
      <w:bookmarkStart w:id="19" w:name="_Toc54643698"/>
      <w:bookmarkStart w:id="20" w:name="_Toc54643701"/>
      <w:bookmarkStart w:id="21" w:name="_Toc54643699"/>
      <w:bookmarkStart w:id="22" w:name="_Toc46743508"/>
      <w:bookmarkStart w:id="23" w:name="_Toc46743509_Копия_2_Копия_2"/>
      <w:bookmarkStart w:id="24" w:name="_Hlk46492347_Копия_2_Копия_2"/>
      <w:bookmarkStart w:id="25" w:name="_Hlk46492347_Копия_2_Копия_2_Копия_1"/>
      <w:bookmarkStart w:id="26" w:name="_Toc54643700_Копия_2_Копия_2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pStyle w:val="Heading1"/>
        <w:numPr>
          <w:ilvl w:val="0"/>
          <w:numId w:val="6"/>
        </w:numPr>
        <w:spacing w:before="0" w:after="0"/>
        <w:ind w:left="709" w:hanging="709"/>
        <w:rPr/>
      </w:pPr>
      <w:bookmarkStart w:id="27" w:name="__RefHeading___Toc1630_1765658478"/>
      <w:bookmarkStart w:id="28" w:name="_Toc51339693"/>
      <w:bookmarkStart w:id="29" w:name="_Toc124846885"/>
      <w:bookmarkStart w:id="30" w:name="_Toc75446573"/>
      <w:bookmarkStart w:id="31" w:name="_Toc50125126"/>
      <w:bookmarkStart w:id="32" w:name="_Toc46743510"/>
      <w:bookmarkEnd w:id="27"/>
      <w:bookmarkEnd w:id="31"/>
      <w:bookmarkEnd w:id="32"/>
      <w:r>
        <w:rPr>
          <w:sz w:val="24"/>
          <w:szCs w:val="24"/>
        </w:rPr>
        <w:t xml:space="preserve">Требования к </w:t>
      </w:r>
      <w:bookmarkEnd w:id="28"/>
      <w:bookmarkEnd w:id="29"/>
      <w:bookmarkEnd w:id="30"/>
      <w:r>
        <w:rPr>
          <w:sz w:val="24"/>
          <w:szCs w:val="24"/>
          <w:lang w:val="ru-RU"/>
        </w:rPr>
        <w:t>предоставляемым услугам</w:t>
      </w:r>
    </w:p>
    <w:p>
      <w:pPr>
        <w:pStyle w:val="Heading4"/>
        <w:numPr>
          <w:ilvl w:val="1"/>
          <w:numId w:val="6"/>
        </w:numPr>
        <w:spacing w:before="0" w:after="0"/>
        <w:ind w:left="709" w:hanging="709"/>
        <w:rPr/>
      </w:pPr>
      <w:bookmarkStart w:id="33" w:name="__RefHeading___Toc1632_1765658478"/>
      <w:bookmarkStart w:id="34" w:name="_Toc75446574"/>
      <w:bookmarkEnd w:id="33"/>
      <w:r>
        <w:rPr/>
        <w:t xml:space="preserve">Требования к объемам и срокам </w:t>
      </w:r>
      <w:bookmarkEnd w:id="34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6"/>
        </w:numPr>
        <w:spacing w:before="0" w:after="0"/>
        <w:ind w:left="709" w:hanging="709"/>
        <w:rPr>
          <w:lang w:val="ru-RU"/>
        </w:rPr>
      </w:pPr>
      <w:bookmarkStart w:id="35" w:name="__RefHeading___Toc1634_1765658478"/>
      <w:bookmarkStart w:id="36" w:name="_Toc75446575"/>
      <w:bookmarkStart w:id="37" w:name="_Toc124846886"/>
      <w:bookmarkEnd w:id="35"/>
      <w:r>
        <w:rPr/>
        <w:t xml:space="preserve">Перечень и объем </w:t>
      </w:r>
      <w:bookmarkEnd w:id="36"/>
      <w:bookmarkEnd w:id="37"/>
      <w:r>
        <w:rPr>
          <w:lang w:val="ru-RU"/>
        </w:rPr>
        <w:t>услуг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bookmarkStart w:id="38" w:name="__RefHeading___Toc1636_1765658478"/>
      <w:bookmarkStart w:id="39" w:name="_Toc51339695"/>
      <w:bookmarkStart w:id="40" w:name="_Toc124846887"/>
      <w:bookmarkStart w:id="41" w:name="_Toc124591777"/>
      <w:bookmarkStart w:id="42" w:name="_Toc124591881"/>
      <w:bookmarkStart w:id="43" w:name="_Toc75446576"/>
      <w:bookmarkEnd w:id="38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Перечень </w:t>
      </w:r>
      <w:bookmarkEnd w:id="39"/>
      <w:bookmarkEnd w:id="40"/>
      <w:bookmarkEnd w:id="41"/>
      <w:bookmarkEnd w:id="42"/>
      <w:bookmarkEnd w:id="43"/>
      <w:r>
        <w:rPr>
          <w:sz w:val="24"/>
          <w:szCs w:val="24"/>
          <w:lang w:val="ru-RU"/>
        </w:rPr>
        <w:t>оказываемых услуг</w:t>
      </w:r>
    </w:p>
    <w:tbl>
      <w:tblPr>
        <w:tblW w:w="1017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78"/>
        <w:gridCol w:w="9399"/>
      </w:tblGrid>
      <w:tr>
        <w:trPr>
          <w:trHeight w:val="641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услуг</w:t>
            </w:r>
          </w:p>
        </w:tc>
      </w:tr>
      <w:tr>
        <w:trPr>
          <w:trHeight w:val="163" w:hRule="atLeast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ОКПД2 49.41.1 Оказание услуг по предоставлению спецтехники с экипажем для выполнения работ на Усть-Среднеканской ГЭС для нужд Башкирского филиала</w:t>
            </w:r>
          </w:p>
        </w:tc>
      </w:tr>
    </w:tbl>
    <w:p>
      <w:pPr>
        <w:pStyle w:val="Normal"/>
        <w:rPr/>
      </w:pPr>
      <w:bookmarkStart w:id="44" w:name="__RefHeading___Toc1638_1765658478"/>
      <w:bookmarkStart w:id="45" w:name="_Toc75446578"/>
      <w:bookmarkEnd w:id="44"/>
      <w:r>
        <w:rPr/>
        <w:t xml:space="preserve"> </w:t>
      </w:r>
      <w:bookmarkEnd w:id="45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46" w:name="__RefHeading___Toc1640_1765658478"/>
      <w:bookmarkStart w:id="47" w:name="_Toc124591779"/>
      <w:bookmarkStart w:id="48" w:name="_Toc51339697"/>
      <w:bookmarkStart w:id="49" w:name="_Toc124846889"/>
      <w:bookmarkStart w:id="50" w:name="_Toc50125127"/>
      <w:bookmarkStart w:id="51" w:name="_Toc75446579"/>
      <w:bookmarkStart w:id="52" w:name="_Toc124591883"/>
      <w:bookmarkEnd w:id="46"/>
      <w:r>
        <w:rPr>
          <w:sz w:val="24"/>
          <w:szCs w:val="24"/>
        </w:rPr>
        <w:t>Таблица 2</w:t>
      </w:r>
      <w:bookmarkStart w:id="53" w:name="_Hlk50465284"/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bookmarkEnd w:id="47"/>
      <w:bookmarkEnd w:id="48"/>
      <w:bookmarkEnd w:id="49"/>
      <w:bookmarkEnd w:id="50"/>
      <w:bookmarkEnd w:id="51"/>
      <w:bookmarkEnd w:id="52"/>
      <w:bookmarkEnd w:id="53"/>
      <w:r>
        <w:rPr>
          <w:sz w:val="24"/>
          <w:szCs w:val="24"/>
          <w:lang w:val="ru-RU"/>
        </w:rPr>
        <w:t xml:space="preserve">Перечень и технические характеристики автотранспорта и спецтехники </w:t>
      </w:r>
    </w:p>
    <w:tbl>
      <w:tblPr>
        <w:tblW w:w="1032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"/>
        <w:gridCol w:w="4290"/>
        <w:gridCol w:w="2268"/>
        <w:gridCol w:w="2807"/>
      </w:tblGrid>
      <w:tr>
        <w:trPr/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техники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техническим характеристикам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Требуемое колличество часов</w:t>
            </w:r>
          </w:p>
        </w:tc>
      </w:tr>
      <w:tr>
        <w:trPr>
          <w:trHeight w:val="130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692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227" w:right="227" w:hanging="0"/>
              <w:contextualSpacing/>
              <w:jc w:val="center"/>
              <w:rPr/>
            </w:pPr>
            <w:r>
              <w:rPr/>
              <w:t>1.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Гусеничный экскаватор HYUNDAI HX300SL LR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Эксплуатационная масса 30 200 кг.Объём ковша 1,5 м3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692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227" w:right="227" w:hanging="0"/>
              <w:contextualSpacing/>
              <w:jc w:val="center"/>
              <w:rPr/>
            </w:pPr>
            <w:r>
              <w:rPr/>
              <w:t>2.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Самосвал, НINO 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Грузоподъёмность 15-25 т,объём кузова 15-20 м3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>
        <w:trPr>
          <w:trHeight w:val="692" w:hRule="atLeast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227" w:right="227" w:hanging="0"/>
              <w:contextualSpacing/>
              <w:jc w:val="center"/>
              <w:rPr/>
            </w:pPr>
            <w:r>
              <w:rPr/>
              <w:t>3.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Бульдозер Shantui </w:t>
            </w:r>
            <w:r>
              <w:rPr>
                <w:sz w:val="24"/>
                <w:szCs w:val="24"/>
                <w:lang w:val="en-US"/>
              </w:rPr>
              <w:t>SD 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вес 24-25т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Объём отвала 4,7-7 м3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0"/>
        </w:numPr>
        <w:ind w:left="0" w:hanging="0"/>
        <w:rPr/>
      </w:pPr>
      <w:bookmarkStart w:id="54" w:name="__RefHeading___Toc1642_1765658478"/>
      <w:bookmarkEnd w:id="54"/>
      <w:r>
        <w:rPr/>
        <w:t xml:space="preserve">2.1.2 </w:t>
      </w:r>
      <w:bookmarkStart w:id="55" w:name="_Toc75446581"/>
      <w:bookmarkStart w:id="56" w:name="_Toc46743511"/>
      <w:r>
        <w:rPr/>
        <w:t>Требование к срокам оказания  услуг.</w:t>
      </w:r>
    </w:p>
    <w:p>
      <w:pPr>
        <w:pStyle w:val="Heading4"/>
        <w:spacing w:before="119" w:after="62"/>
        <w:contextualSpacing/>
        <w:rPr/>
      </w:pPr>
      <w:bookmarkStart w:id="57" w:name="__RefHeading___Toc9311_1765658478"/>
      <w:bookmarkEnd w:id="57"/>
      <w:r>
        <w:rPr>
          <w:b/>
        </w:rPr>
        <w:t xml:space="preserve">Таблица </w:t>
      </w:r>
      <w:r>
        <w:rPr>
          <w:b/>
          <w:lang w:val="ru-RU"/>
        </w:rPr>
        <w:t>3</w:t>
      </w:r>
      <w:r>
        <w:rPr>
          <w:b/>
        </w:rPr>
        <w:t xml:space="preserve">. Требования </w:t>
      </w:r>
      <w:r>
        <w:rPr>
          <w:b/>
          <w:lang w:val="ru-RU"/>
        </w:rPr>
        <w:t>к</w:t>
      </w:r>
      <w:r>
        <w:rPr>
          <w:b/>
        </w:rPr>
        <w:t xml:space="preserve"> срокам </w:t>
      </w:r>
      <w:r>
        <w:rPr>
          <w:b/>
          <w:lang w:val="ru-RU"/>
        </w:rPr>
        <w:t>оказания услуг.</w:t>
      </w:r>
    </w:p>
    <w:tbl>
      <w:tblPr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7"/>
        <w:gridCol w:w="5787"/>
        <w:gridCol w:w="1755"/>
        <w:gridCol w:w="159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pacing w:lineRule="exact" w:line="274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  <w:shd w:fill="FFFFFF" w:val="clear"/>
                <w:lang w:val="ru-RU" w:eastAsia="en-US"/>
              </w:rPr>
              <w:t>ОКПД2 49.41.1 Оказание услуг по предоставлению спецтехники с экипажем для выполнения работ на Усть-Среднеканской ГЭС для нужд Башкирского филиала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С 07.07.2026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17.08.2026</w:t>
            </w:r>
          </w:p>
        </w:tc>
      </w:tr>
    </w:tbl>
    <w:p>
      <w:pPr>
        <w:pStyle w:val="Normal"/>
        <w:spacing w:before="119" w:after="6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</w:numPr>
        <w:rPr/>
      </w:pPr>
      <w:bookmarkStart w:id="58" w:name="__RefHeading___Toc1644_1765658478"/>
      <w:bookmarkEnd w:id="58"/>
      <w:r>
        <w:rPr/>
        <w:t xml:space="preserve">2.2 Требования к </w:t>
      </w:r>
      <w:bookmarkEnd w:id="56"/>
      <w:r>
        <w:rPr/>
        <w:t>качеству продукции</w:t>
      </w:r>
      <w:bookmarkStart w:id="59" w:name="_Toc50125131_Копия_1_Копия_1_Копия_1"/>
      <w:bookmarkStart w:id="60" w:name="_Toc51339698_Копия_1"/>
      <w:bookmarkEnd w:id="55"/>
      <w:bookmarkEnd w:id="59"/>
      <w:bookmarkEnd w:id="60"/>
    </w:p>
    <w:p>
      <w:pPr>
        <w:pStyle w:val="Normal"/>
        <w:rPr>
          <w:sz w:val="24"/>
          <w:szCs w:val="24"/>
        </w:rPr>
      </w:pPr>
      <w:bookmarkStart w:id="61" w:name="__RefHeading___Toc9313_1765658478"/>
      <w:bookmarkEnd w:id="61"/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r>
        <w:rPr>
          <w:b/>
          <w:sz w:val="24"/>
          <w:szCs w:val="24"/>
          <w:lang w:val="ru-RU"/>
        </w:rPr>
        <w:t>качеству услуг.</w:t>
      </w:r>
      <w:r>
        <w:rPr>
          <w:b/>
          <w:sz w:val="24"/>
          <w:szCs w:val="24"/>
        </w:rPr>
        <w:t xml:space="preserve"> </w:t>
      </w:r>
    </w:p>
    <w:p>
      <w:pPr>
        <w:pStyle w:val="Normal"/>
        <w:spacing w:before="0" w:after="0"/>
        <w:contextualSpacing/>
        <w:rPr>
          <w:sz w:val="24"/>
          <w:szCs w:val="24"/>
        </w:rPr>
      </w:pPr>
      <w:r>
        <w:rPr>
          <w:b/>
          <w:sz w:val="24"/>
          <w:szCs w:val="24"/>
          <w:lang w:eastAsia="x-none"/>
        </w:rPr>
        <w:t>Наименование услуг:</w:t>
      </w:r>
      <w:r>
        <w:rPr>
          <w:sz w:val="24"/>
          <w:szCs w:val="24"/>
          <w:lang w:eastAsia="x-none"/>
        </w:rPr>
        <w:t xml:space="preserve"> в соответствии с Таблицей 1 ТТ «Перечень оказываемых услуг».</w:t>
      </w:r>
    </w:p>
    <w:tbl>
      <w:tblPr>
        <w:tblStyle w:val="affffc"/>
        <w:tblW w:w="9750" w:type="dxa"/>
        <w:jc w:val="left"/>
        <w:tblInd w:w="2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9"/>
        <w:gridCol w:w="1603"/>
        <w:gridCol w:w="386"/>
        <w:gridCol w:w="6942"/>
      </w:tblGrid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bookmarkStart w:id="62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62"/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9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19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оказания услуг</w:t>
            </w:r>
          </w:p>
        </w:tc>
        <w:tc>
          <w:tcPr>
            <w:tcW w:w="6942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Заказчик планирует использовать (применять) технику в соответствии с номенклатурой (согласно таблице 2 настоящих Технических требований) и продолжительностью применения, указанных в продаваемых заявках Заказчика . При этом Заказчик оставляет за собой право исполнить договор не в полном объёме и не применять какую-либо единицу техники в соответствии с номенклатурой (согласно таблице 2) в случае отсутствия необходимости.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Планируемое к использованию количество машино-часов , указывается в подаваемых Заказчиком заявках на оказание услуг. Минимальная продолжительность работы техники — не менее 10 машино-часов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Стоимость машино-часа является фиксированной и постоянной на протяжении всего срока действия договора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При условии нахождения техники в «режиме простоя» по вине Заказчика более 1 рабочего дня, стоимость услуг оплачивается по отдельному тарифу за исключением случае «форс-мажоров», начиная с 1-го дня режима «простоя».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«Форс-мажором» считается случай «простоя» техники по погодным условиям, ремонт техники.</w:t>
            </w:r>
          </w:p>
          <w:p>
            <w:pPr>
              <w:pStyle w:val="Default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709" w:leader="none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Затраты, связанные с прохождением предрейсового (послерейсвого) медосмотра, с обеспечением жильем экипажей (операторов) спецтехники несет Исполнитель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1.2.</w:t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транспортным средствам</w:t>
            </w:r>
          </w:p>
        </w:tc>
        <w:tc>
          <w:tcPr>
            <w:tcW w:w="694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Транспортные средства , предполагаемые Исполнителем для оказания Услуг, должны соответствовать  существующим нормативно-правовым и эксплуатационно-техническим требованиям Российской Федерации</w:t>
            </w:r>
          </w:p>
          <w:p>
            <w:pPr>
              <w:pStyle w:val="Default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auto"/>
                <w:kern w:val="0"/>
                <w:lang w:val="ru-RU" w:eastAsia="ru-RU" w:bidi="ar-SA"/>
              </w:rPr>
              <w:t>Техника ( грузоподъемные краны, установленные на автомобильные шасси, специальные шасси автомобильного типа, грузоподъемные краны на пневмоколесном ходу и гусеничному ходу), при использовании в стеснённых условиях на действующих электроустановках, должна быть оборудована координатной защитой.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1.3.</w:t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предоставляемых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198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услуг техники</w:t>
            </w:r>
          </w:p>
        </w:tc>
        <w:tc>
          <w:tcPr>
            <w:tcW w:w="69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предоставляются по заявке Заказчика, которая подается по телефону, либо письменно по электронной почте, в соответствии с перечнем табл. № 2 технических требований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1.4.</w:t>
            </w:r>
          </w:p>
        </w:tc>
        <w:tc>
          <w:tcPr>
            <w:tcW w:w="89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квалификационных документов у персонала  Исполнителя обслуживающего СТ</w:t>
            </w:r>
          </w:p>
        </w:tc>
        <w:tc>
          <w:tcPr>
            <w:tcW w:w="69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достаточное для исполнения договора количество квалифицированного и аттестованного персонала на каждую единицу техники. Соответствие установленному требованию подтверждается путем предоставления в составе заявки сведений по форме Справки о кадровых ресурсах, подготовленной в соответствии с требованиями Документации о закупке.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Лица, управляющие техникой, должны иметь действующие квалификационные удостоверения на работу с техникой в действующих электроустановках и водительское удостоверение с разрешенной категорией, отметку в путевом листе о прохождении предрейсового и послерейсового медосмотра.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использовании техники (автокран, вышка АГП, кран-борт) в электроустановках (ОРУ, освещение, охранная зона ВЛ и т. п.) у водителей-операторов необходимо наличие удостоверения по электробезопасности не ниже второй группы согласно Правилам по охране труда при эксплуатации электроустановок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соблюдать требования технологической, производственной и трудовой дисциплины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все действия своего персонала, в том числе и за соблюдение персоналом  законодательства Российской Федерации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</w:tr>
      <w:tr>
        <w:trPr>
          <w:trHeight w:val="482" w:hRule="atLeast"/>
        </w:trPr>
        <w:tc>
          <w:tcPr>
            <w:tcW w:w="8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1.5.1</w:t>
            </w:r>
          </w:p>
        </w:tc>
        <w:tc>
          <w:tcPr>
            <w:tcW w:w="19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 и безопасности результатов работ</w:t>
            </w:r>
          </w:p>
        </w:tc>
        <w:tc>
          <w:tcPr>
            <w:tcW w:w="6942" w:type="dxa"/>
            <w:tcBorders/>
            <w:shd w:color="auto" w:fill="auto" w:val="clear"/>
          </w:tcPr>
          <w:p>
            <w:pPr>
              <w:pStyle w:val="Default"/>
              <w:widowControl w:val="false"/>
              <w:tabs>
                <w:tab w:val="clear" w:pos="708"/>
                <w:tab w:val="left" w:pos="426" w:leader="none"/>
                <w:tab w:val="left" w:pos="567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Cs/>
                <w:color w:val="auto"/>
                <w:kern w:val="0"/>
                <w:lang w:val="ru-RU" w:eastAsia="ru-RU" w:bidi="ar-SA"/>
              </w:rPr>
              <w:t>Предоставляемая техника должна находиться в техническом исправном состоянии с заправкой ГСМ и необходимой документацией ( в т.ч. путевым листом), укомплектованная необходимыми вспомогательными средствами: огнетушителем, аварийным знаком, аптечкой с медикаментами, в соответствии с согласованными Сторонами в Заявке временем и местом подачи. Исполнитель несет ответственность за техническое состояние техники. Исполнитель должен обеспечить соблюдение водителями (машинистами) правил и инструкцией по охране труда, безопасности дорожного движения, пожарной и электробезопасности во время оказания услуг. Исполнитель несет ответственность за соблюдение действующих норм и правил при работе с ГПМ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исполнителя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755" w:hanging="755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</w:t>
            </w:r>
          </w:p>
        </w:tc>
        <w:tc>
          <w:tcPr>
            <w:tcW w:w="73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несет ответственность за качество, работоспособность функциональные свойства и технические характеристики грузоподъемной техники и средств малой механизации, используемой для оказания услуг в соответствии с настоящими техническими требованиями и действующих нормативных актов РФ, сроков исполнения, в полном объеме, с надлежащим качеством</w:t>
            </w:r>
          </w:p>
        </w:tc>
      </w:tr>
      <w:tr>
        <w:trPr/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9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оказываемым услугам</w:t>
            </w:r>
          </w:p>
        </w:tc>
      </w:tr>
      <w:tr>
        <w:trPr>
          <w:trHeight w:val="337" w:hRule="atLeast"/>
        </w:trPr>
        <w:tc>
          <w:tcPr>
            <w:tcW w:w="8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9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Общие требования</w:t>
            </w:r>
          </w:p>
        </w:tc>
        <w:tc>
          <w:tcPr>
            <w:tcW w:w="69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иметь достаточное для исполнения договора количество собственных или на праве аренды материально-технических ресурсов (машин и механизмов, специальных приспособлений и инструментов) для выполнения работ по предмету закупки. Соответствие установленному требованию подтверждается путем предоставления в составе заявки сведений про форме Справки о материально-технических ресурсах, подготовленной в соответствии с требованиями Документации о закупке.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все расходы , связанные с эксплуатацией спецтехники, включая, но не ограничиваясь расходы за заработную плату членам экипажей, оплату топлива , горюче-смазочных материалов и эксплуатационных жидкостей , оплату ремонта и запасных частей для спецтехники, оплату штрафов, и иных расходов, возникающих в связи с эксплуатацией спецтехники.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при невозможности предоставления спецтехники, согласованной в Заявке (ДТП, постановка в ремонт/ на техническое обслуживание, угон ТС, иные причины) незамедлительно уведомить об этом Заказчика и по согласованию с Заказчиком предоставить подменную спецтехнику с аналогичными техническими характеристиками, соответствующими условиям. Договора и на условиях, согласованных в Заявках. Время простоя, по причине неисправной техники, не оплачивается.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вести учет часов работы задействованной техники по отдельной , согласованной форме с подтверждением часов работ уполномоченными лицом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рамках выполнения работ учитывается вынужденный простой техники по независящим от исполнителя причинам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before="120" w:after="60"/>
        <w:ind w:left="567" w:hanging="0"/>
        <w:jc w:val="center"/>
        <w:rPr>
          <w:sz w:val="24"/>
          <w:szCs w:val="24"/>
        </w:rPr>
      </w:pPr>
      <w:r>
        <w:rPr/>
      </w:r>
      <w:bookmarkStart w:id="63" w:name="_Toc46743505_Копия_1"/>
      <w:bookmarkStart w:id="64" w:name="_Toc46743505_Копия_1"/>
      <w:bookmarkEnd w:id="64"/>
    </w:p>
    <w:sectPr>
      <w:headerReference w:type="default" r:id="rId5"/>
      <w:headerReference w:type="first" r:id="rId6"/>
      <w:type w:val="nextPage"/>
      <w:pgSz w:w="11906" w:h="16838"/>
      <w:pgMar w:left="851" w:right="1134" w:gutter="0" w:header="680" w:top="992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4445" simplePos="0" locked="0" layoutInCell="0" allowOverlap="1" relativeHeight="2" wp14:anchorId="6C92D16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C92D1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sz w:val="24"/>
        <w:b w:val="false"/>
        <w:szCs w:val="24"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b/>
        <w:kern w:val="0"/>
        <w:szCs w:val="24"/>
        <w:iCs w:val="false"/>
        <w:bCs w:val="false"/>
        <w:vanish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3" w:hanging="504"/>
      </w:pPr>
      <w:rPr>
        <w:sz w:val="24"/>
        <w:i w:val="false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7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1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5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9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3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9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22bc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5066da"/>
    <w:pPr>
      <w:keepNext w:val="true"/>
      <w:tabs>
        <w:tab w:val="clear" w:pos="708"/>
        <w:tab w:val="left" w:pos="0" w:leader="none"/>
      </w:tabs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5066d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Знак"/>
    <w:basedOn w:val="DefaultParagraphFont"/>
    <w:link w:val="PlainText"/>
    <w:uiPriority w:val="99"/>
    <w:semiHidden/>
    <w:qFormat/>
    <w:rsid w:val="007b286f"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character" w:styleId="Strong">
    <w:name w:val="Strong"/>
    <w:qFormat/>
    <w:rPr>
      <w:b/>
      <w:bCs/>
    </w:rPr>
  </w:style>
  <w:style w:type="character" w:styleId="Style15">
    <w:name w:val="Ссылка указателя"/>
    <w:qFormat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color w:val="000000"/>
    </w:rPr>
  </w:style>
  <w:style w:type="character" w:styleId="Style17">
    <w:name w:val="Основной текст_"/>
    <w:qFormat/>
    <w:rPr>
      <w:sz w:val="28"/>
      <w:szCs w:val="28"/>
      <w:shd w:fill="FFFFFF" w:val="clear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andard" w:customStyle="1">
    <w:name w:val="Standard"/>
    <w:qFormat/>
    <w:rsid w:val="002a3b60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Default" w:customStyle="1">
    <w:name w:val="Default"/>
    <w:qFormat/>
    <w:rsid w:val="0072001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Style14"/>
    <w:uiPriority w:val="99"/>
    <w:semiHidden/>
    <w:unhideWhenUsed/>
    <w:qFormat/>
    <w:rsid w:val="007b286f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110">
    <w:name w:val="Основной текст1"/>
    <w:basedOn w:val="Normal"/>
    <w:qFormat/>
    <w:pPr>
      <w:widowControl w:val="false"/>
      <w:shd w:fill="FFFFFF"/>
      <w:spacing w:lineRule="exact" w:line="302"/>
    </w:pPr>
    <w:rPr/>
  </w:style>
  <w:style w:type="paragraph" w:styleId="Caption1111111111">
    <w:name w:val="caption1111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11111">
    <w:name w:val="index heading111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111">
    <w:name w:val="caption111111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11111111">
    <w:name w:val="index heading11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11">
    <w:name w:val="caption11111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11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Indexheading1111111">
    <w:name w:val="index heading1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1">
    <w:name w:val="caption1111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111111">
    <w:name w:val="index heading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">
    <w:name w:val="caption111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11111">
    <w:name w:val="index heading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">
    <w:name w:val="caption11111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1111">
    <w:name w:val="index heading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2">
    <w:name w:val="caption11112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Indexheading1112">
    <w:name w:val="index heading111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6729016031">
    <w:name w:val="36729016031"/>
    <w:qFormat/>
  </w:style>
  <w:style w:type="numbering" w:styleId="17742204191">
    <w:name w:val="17742204191"/>
    <w:qFormat/>
  </w:style>
  <w:style w:type="numbering" w:styleId="9639527571">
    <w:name w:val="9639527571"/>
    <w:qFormat/>
  </w:style>
  <w:style w:type="numbering" w:styleId="21420674541">
    <w:name w:val="21420674541"/>
    <w:qFormat/>
  </w:style>
  <w:style w:type="numbering" w:styleId="32422678001">
    <w:name w:val="32422678001"/>
    <w:qFormat/>
  </w:style>
  <w:style w:type="numbering" w:styleId="33945912931">
    <w:name w:val="33945912931"/>
    <w:qFormat/>
  </w:style>
  <w:style w:type="numbering" w:styleId="13186452291">
    <w:name w:val="131864522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7847-AE79-4DBE-9A56-9208E86D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AlterOffice/3.4.0.9$Linux_X86_64 LibreOffice_project/b8daf9e823b1a5463a2f48435ddc2e8696e7d4fc</Application>
  <AppVersion>15.0000</AppVersion>
  <Pages>6</Pages>
  <Words>1107</Words>
  <Characters>7724</Characters>
  <CharactersWithSpaces>8710</CharactersWithSpaces>
  <Paragraphs>127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2026-06-30T03:25:00Z</dcterms:created>
  <dc:creator>Быстров Олег Геннадьевич</dc:creator>
  <dc:description/>
  <dc:language>ru-RU</dc:language>
  <cp:lastModifiedBy>murtazinda@corp.gidroogk.com</cp:lastModifiedBy>
  <cp:lastPrinted>2023-01-14T04:55:00Z</cp:lastPrinted>
  <dcterms:modified xsi:type="dcterms:W3CDTF">2026-07-02T12:38:49Z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