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ab/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ГСМ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ОКПД 2: 19.20.21 Поставка горюче-смазочных материалов для нужд Северо-Кавказского филиала.    </w:t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                               </w:t>
      </w:r>
    </w:p>
    <w:p>
      <w:pPr>
        <w:pStyle w:val="Normal"/>
        <w:widowControl w:val="false"/>
        <w:tabs>
          <w:tab w:val="clear" w:pos="708"/>
          <w:tab w:val="left" w:pos="242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  <w:t xml:space="preserve">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widowControl w:val="false"/>
            <w:numPr>
              <w:ilvl w:val="0"/>
              <w:numId w:val="0"/>
            </w:numPr>
            <w:spacing w:lineRule="auto" w:line="264" w:before="0" w:after="0"/>
            <w:ind w:firstLine="851"/>
            <w:jc w:val="center"/>
            <w:outlineLvl w:val="1"/>
            <w:rPr>
              <w:rFonts w:ascii="Times New Roman" w:hAnsi="Times New Roman" w:eastAsia="Times New Roman" w:cs="Times New Roman"/>
              <w:b/>
              <w:bCs/>
              <w:sz w:val="28"/>
              <w:szCs w:val="28"/>
              <w:lang w:eastAsia="ar-SA"/>
            </w:rPr>
          </w:pPr>
          <w:bookmarkStart w:id="1" w:name="_Toc141772985"/>
          <w:r>
            <w:rPr>
              <w:rFonts w:eastAsia="Times New Roman" w:cs="Times New Roman" w:ascii="Times New Roman" w:hAnsi="Times New Roman"/>
              <w:b/>
              <w:bCs/>
              <w:sz w:val="28"/>
              <w:szCs w:val="28"/>
              <w:lang w:eastAsia="ar-SA"/>
            </w:rPr>
            <w:t>СОДЕРЖАНИЕ</w:t>
          </w:r>
          <w:bookmarkEnd w:id="1"/>
        </w:p>
        <w:p>
          <w:pPr>
            <w:pStyle w:val="TOC2"/>
            <w:tabs>
              <w:tab w:val="clear" w:pos="708"/>
              <w:tab w:val="right" w:pos="9911" w:leader="dot"/>
            </w:tabs>
            <w:rPr>
              <w:rFonts w:ascii="Times New Roman" w:hAnsi="Times New Roman" w:eastAsia="" w:cs="Times New Roman" w:eastAsiaTheme="minorEastAsia"/>
              <w:lang w:eastAsia="ru-RU"/>
            </w:rPr>
          </w:pPr>
          <w:r>
            <w:fldChar w:fldCharType="begin"/>
          </w:r>
          <w:r>
            <w:rPr/>
            <w:instrText xml:space="preserve"> TOC \z \o "1-3" \u \h</w:instrText>
          </w:r>
          <w:r>
            <w:rPr/>
            <w:fldChar w:fldCharType="separate"/>
          </w:r>
          <w:hyperlink w:anchor="_Toc1417729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_Toc141772985 \h</w:instrText>
            </w:r>
            <w:r>
              <w:rPr>
                <w:webHidden/>
              </w:rPr>
              <w:fldChar w:fldCharType="separate"/>
            </w:r>
            <w:r>
              <w:rPr/>
            </w:r>
            <w:r>
              <w:rPr>
                <w:webHidden/>
              </w:rPr>
              <w:fldChar w:fldCharType="end"/>
            </w:r>
          </w:hyperlink>
          <w:r>
            <w:rPr/>
            <w:fldChar w:fldCharType="end"/>
          </w:r>
        </w:p>
      </w:sdtContent>
    </w:sdt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 </w:t>
      </w:r>
      <w:bookmarkStart w:id="2" w:name="_Toc125473240_Копия_1"/>
      <w:bookmarkStart w:id="3" w:name="_Toc75446566_Копия_1"/>
      <w:bookmarkStart w:id="4" w:name="_Toc141772986_Копия_1"/>
      <w:bookmarkStart w:id="5" w:name="_Toc51339692_Копия_1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Общие сведения</w:t>
      </w:r>
      <w:bookmarkEnd w:id="2"/>
      <w:bookmarkEnd w:id="3"/>
      <w:bookmarkEnd w:id="4"/>
      <w:bookmarkEnd w:id="5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……………………………………………………………………………………..3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  <w:lang w:eastAsia="x-none"/>
        </w:rPr>
        <w:t>1.1.  Обозначения и сокращения………………………………………………………………………3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1.2. </w:t>
      </w:r>
      <w:bookmarkStart w:id="6" w:name="_Toc125473241_Копия_2"/>
      <w:bookmarkStart w:id="7" w:name="_Toc141772987_Копия_2"/>
      <w:r>
        <w:rPr>
          <w:rFonts w:ascii="Times New Roman" w:hAnsi="Times New Roman"/>
          <w:sz w:val="24"/>
          <w:szCs w:val="24"/>
        </w:rPr>
        <w:t>Наименование закупаемой продукции…………………………………………………………</w:t>
      </w:r>
      <w:bookmarkEnd w:id="6"/>
      <w:bookmarkEnd w:id="7"/>
      <w:r>
        <w:rPr>
          <w:rFonts w:ascii="Times New Roman" w:hAnsi="Times New Roman"/>
          <w:sz w:val="24"/>
          <w:szCs w:val="24"/>
        </w:rPr>
        <w:t>...3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1.3. </w:t>
      </w:r>
      <w:bookmarkStart w:id="8" w:name="_Toc141772988_Копия_1"/>
      <w:bookmarkStart w:id="9" w:name="_Toc125473242_Копия_1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Цель использования закупаемой продукции……………………………………………………</w:t>
      </w:r>
      <w:bookmarkEnd w:id="8"/>
      <w:bookmarkEnd w:id="9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.3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iCs/>
          <w:sz w:val="24"/>
          <w:szCs w:val="24"/>
          <w:lang w:val="x-none" w:eastAsia="ar-SA"/>
        </w:rPr>
        <w:t xml:space="preserve">2. </w:t>
      </w:r>
      <w:bookmarkStart w:id="10" w:name="_Toc51339693_Копия_1"/>
      <w:bookmarkStart w:id="11" w:name="_Toc75446573_Копия_1"/>
      <w:bookmarkStart w:id="12" w:name="_Toc125473249_Копия_1"/>
      <w:bookmarkStart w:id="13" w:name="_Toc141772989_Копия_1"/>
      <w:r>
        <w:rPr>
          <w:rFonts w:eastAsia="Calibri" w:ascii="Times New Roman" w:hAnsi="Times New Roman"/>
          <w:iCs/>
          <w:sz w:val="24"/>
          <w:szCs w:val="24"/>
          <w:lang w:val="x-none" w:eastAsia="x-none"/>
        </w:rPr>
        <w:t>Требования к продукции……………………………………………………………………………</w:t>
      </w:r>
      <w:bookmarkEnd w:id="10"/>
      <w:bookmarkEnd w:id="11"/>
      <w:bookmarkEnd w:id="12"/>
      <w:bookmarkEnd w:id="13"/>
      <w:r>
        <w:rPr>
          <w:rFonts w:eastAsia="Calibri" w:ascii="Times New Roman" w:hAnsi="Times New Roman"/>
          <w:iCs/>
          <w:sz w:val="24"/>
          <w:szCs w:val="24"/>
          <w:lang w:val="x-none" w:eastAsia="x-none"/>
        </w:rPr>
        <w:t>3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>2.1 Требования к объёмам и срокам поставки………………………………………………………..3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2.1.1. </w:t>
      </w:r>
      <w:bookmarkStart w:id="14" w:name="_Toc125473250_Копия_1"/>
      <w:bookmarkStart w:id="15" w:name="_Toc75446575_Копия_1"/>
      <w:bookmarkStart w:id="16" w:name="_Toc141772990_Копия_1"/>
      <w:r>
        <w:rPr>
          <w:rFonts w:ascii="Times New Roman" w:hAnsi="Times New Roman"/>
          <w:sz w:val="24"/>
          <w:szCs w:val="24"/>
        </w:rPr>
        <w:t>Перечень и объем закупаемой продукции……………………………………………………</w:t>
      </w:r>
      <w:bookmarkEnd w:id="14"/>
      <w:bookmarkEnd w:id="15"/>
      <w:bookmarkEnd w:id="16"/>
      <w:r>
        <w:rPr>
          <w:rFonts w:ascii="Times New Roman" w:hAnsi="Times New Roman"/>
          <w:sz w:val="24"/>
          <w:szCs w:val="24"/>
        </w:rPr>
        <w:t>..3</w:t>
      </w:r>
    </w:p>
    <w:p>
      <w:pPr>
        <w:pStyle w:val="Heading4"/>
        <w:spacing w:lineRule="auto" w:line="360" w:before="120" w:after="0"/>
        <w:ind w:hanging="567" w:left="567"/>
        <w:rPr/>
      </w:pPr>
      <w:r>
        <w:rPr>
          <w:b w:val="false"/>
          <w:bCs w:val="false"/>
        </w:rPr>
        <w:t>Таблица 1.1. Перечень и объем закупаемой продукции……………………………………………..3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360" w:before="120" w:after="0"/>
        <w:outlineLvl w:val="2"/>
        <w:rPr/>
      </w:pPr>
      <w:r>
        <w:rPr>
          <w:rFonts w:eastAsia="Calibri" w:ascii="Times New Roman" w:hAnsi="Times New Roman"/>
          <w:sz w:val="24"/>
          <w:szCs w:val="24"/>
          <w:lang w:eastAsia="x-none"/>
        </w:rPr>
        <w:t xml:space="preserve">2.1.2. </w:t>
      </w:r>
      <w:bookmarkStart w:id="17" w:name="_Toc141772992_Копия_1"/>
      <w:r>
        <w:rPr>
          <w:rFonts w:eastAsia="Calibri" w:ascii="Times New Roman" w:hAnsi="Times New Roman"/>
          <w:sz w:val="24"/>
          <w:szCs w:val="24"/>
          <w:lang w:eastAsia="x-none"/>
        </w:rPr>
        <w:t>Требования к срокам поставки продукции……………………………………………………</w:t>
      </w:r>
      <w:bookmarkEnd w:id="17"/>
      <w:r>
        <w:rPr>
          <w:rFonts w:eastAsia="Calibri" w:ascii="Times New Roman" w:hAnsi="Times New Roman"/>
          <w:sz w:val="24"/>
          <w:szCs w:val="24"/>
          <w:lang w:eastAsia="x-none"/>
        </w:rPr>
        <w:t>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360" w:before="120" w:after="0"/>
        <w:outlineLvl w:val="2"/>
        <w:rPr/>
      </w:pPr>
      <w:r>
        <w:rPr>
          <w:rFonts w:eastAsia="Calibri" w:ascii="Times New Roman" w:hAnsi="Times New Roman"/>
          <w:sz w:val="24"/>
          <w:szCs w:val="24"/>
          <w:lang w:val="x-none" w:eastAsia="x-none"/>
        </w:rPr>
        <w:t xml:space="preserve">Таблица 2.1. </w:t>
      </w:r>
      <w:bookmarkStart w:id="18" w:name="_Hlk50465284_Копия_1"/>
      <w:r>
        <w:rPr>
          <w:rFonts w:eastAsia="Calibri" w:ascii="Times New Roman" w:hAnsi="Times New Roman"/>
          <w:sz w:val="24"/>
          <w:szCs w:val="24"/>
          <w:lang w:val="x-none" w:eastAsia="x-none"/>
        </w:rPr>
        <w:t xml:space="preserve">Требования по срокам </w:t>
      </w:r>
      <w:bookmarkEnd w:id="18"/>
      <w:r>
        <w:rPr>
          <w:rFonts w:eastAsia="Calibri" w:ascii="Times New Roman" w:hAnsi="Times New Roman"/>
          <w:sz w:val="24"/>
          <w:szCs w:val="24"/>
          <w:lang w:eastAsia="x-none"/>
        </w:rPr>
        <w:t xml:space="preserve">поставки продукции…………………………………………..3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360" w:before="120" w:after="0"/>
        <w:outlineLvl w:val="2"/>
        <w:rPr/>
      </w:pPr>
      <w:r>
        <w:rPr>
          <w:rFonts w:ascii="Times New Roman" w:hAnsi="Times New Roman"/>
          <w:sz w:val="24"/>
          <w:szCs w:val="24"/>
        </w:rPr>
        <w:t xml:space="preserve">2.2. </w:t>
      </w:r>
      <w:bookmarkStart w:id="19" w:name="_Toc125473255_Копия_1"/>
      <w:r>
        <w:rPr>
          <w:rFonts w:ascii="Times New Roman" w:hAnsi="Times New Roman"/>
          <w:sz w:val="24"/>
          <w:szCs w:val="24"/>
        </w:rPr>
        <w:t>Требования к качеству продукции………………………………………………………………</w:t>
      </w:r>
      <w:bookmarkEnd w:id="19"/>
      <w:r>
        <w:rPr>
          <w:rFonts w:ascii="Times New Roman" w:hAnsi="Times New Roman"/>
          <w:sz w:val="24"/>
          <w:szCs w:val="24"/>
        </w:rPr>
        <w:t>.3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360" w:before="120"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3. Требования к продукции………………………………………………………………….3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480" w:before="120" w:after="0"/>
        <w:outlineLvl w:val="2"/>
        <w:rPr/>
      </w:pPr>
      <w:r>
        <w:rPr>
          <w:rFonts w:cs="Times New Roman" w:ascii="Times New Roman" w:hAnsi="Times New Roman"/>
          <w:spacing w:val="-10"/>
          <w:sz w:val="24"/>
          <w:szCs w:val="24"/>
        </w:rPr>
        <w:t xml:space="preserve">3. Требования к документации по ценообразованию </w:t>
      </w:r>
      <w:r>
        <w:rPr>
          <w:rFonts w:eastAsia="Calibri" w:cs="Times New Roman" w:ascii="Times New Roman" w:hAnsi="Times New Roman"/>
          <w:sz w:val="24"/>
          <w:szCs w:val="24"/>
          <w:lang w:eastAsia="x-none"/>
        </w:rPr>
        <w:t>на этапе закупки…………………………………</w:t>
      </w:r>
      <w:r>
        <w:rPr>
          <w:rFonts w:eastAsia="Calibri" w:cs="Times New Roman" w:ascii="Times New Roman" w:hAnsi="Times New Roman"/>
          <w:spacing w:val="-10"/>
          <w:sz w:val="24"/>
          <w:szCs w:val="24"/>
          <w:lang w:eastAsia="x-none"/>
        </w:rPr>
        <w:t>7</w:t>
      </w:r>
    </w:p>
    <w:p>
      <w:pPr>
        <w:pStyle w:val="Normal"/>
        <w:spacing w:lineRule="auto" w:line="48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48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Heading1"/>
        <w:keepLines/>
        <w:numPr>
          <w:ilvl w:val="0"/>
          <w:numId w:val="5"/>
        </w:numPr>
        <w:jc w:val="center"/>
        <w:rPr>
          <w:sz w:val="24"/>
          <w:szCs w:val="24"/>
        </w:rPr>
      </w:pPr>
      <w:bookmarkStart w:id="20" w:name="_Toc141772986"/>
      <w:bookmarkStart w:id="21" w:name="_Toc51339692"/>
      <w:bookmarkStart w:id="22" w:name="_Toc125473240"/>
      <w:bookmarkStart w:id="23" w:name="_Toc75446566"/>
      <w:r>
        <w:rPr>
          <w:sz w:val="24"/>
          <w:szCs w:val="24"/>
          <w:lang w:val="ru-RU"/>
        </w:rPr>
        <w:t>Общие сведения</w:t>
      </w:r>
      <w:bookmarkEnd w:id="20"/>
      <w:bookmarkEnd w:id="21"/>
      <w:bookmarkEnd w:id="22"/>
      <w:bookmarkEnd w:id="23"/>
    </w:p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АЗС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автозаправочная 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Горюче – смазочные материалы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КБР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Кабардино-Балкарская Республика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РСО Алания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Республика Северная Осетия Алания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24" w:name="_Toc141772987"/>
      <w:bookmarkStart w:id="25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24"/>
      <w:bookmarkEnd w:id="25"/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left="0"/>
        <w:contextualSpacing/>
        <w:outlineLvl w:val="1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ОКПД 2: 19.20.21Поставка горюче-смазочных материалов для нужд Северо-Кавказского филиала.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  <w:bookmarkStart w:id="26" w:name="_Toc141772988"/>
      <w:bookmarkStart w:id="27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26"/>
      <w:bookmarkEnd w:id="27"/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pacing w:val="-10"/>
          <w:sz w:val="24"/>
          <w:szCs w:val="24"/>
        </w:rPr>
        <w:t xml:space="preserve">Заправка транспортных средств </w:t>
      </w:r>
      <w:r>
        <w:rPr>
          <w:rFonts w:eastAsia="Calibri" w:cs="Times New Roman" w:ascii="Times New Roman" w:hAnsi="Times New Roman"/>
          <w:spacing w:val="-10"/>
          <w:sz w:val="24"/>
          <w:szCs w:val="24"/>
          <w:lang w:eastAsia="ru-RU"/>
        </w:rPr>
        <w:t>Северо-Кавказского</w:t>
      </w:r>
      <w:r>
        <w:rPr>
          <w:rFonts w:eastAsia="Calibri" w:cs="Times New Roman" w:ascii="Times New Roman" w:hAnsi="Times New Roman"/>
          <w:spacing w:val="-10"/>
          <w:sz w:val="24"/>
          <w:szCs w:val="24"/>
        </w:rPr>
        <w:t xml:space="preserve"> филиала – АО «Гидроремонт ВКК» ГСМ по единым </w:t>
      </w:r>
      <w:r>
        <w:rPr>
          <w:rFonts w:cs="Times New Roman" w:ascii="Times New Roman" w:hAnsi="Times New Roman"/>
          <w:sz w:val="24"/>
          <w:szCs w:val="24"/>
        </w:rPr>
        <w:t>топливным картам на весь период действия договора.</w:t>
      </w:r>
    </w:p>
    <w:p>
      <w:pPr>
        <w:pStyle w:val="Normal"/>
        <w:keepNext w:val="true"/>
        <w:keepLines/>
        <w:numPr>
          <w:ilvl w:val="0"/>
          <w:numId w:val="2"/>
        </w:numPr>
        <w:spacing w:lineRule="auto" w:line="240" w:before="120"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8" w:name="_Toc141772989"/>
      <w:bookmarkStart w:id="29" w:name="_Toc125473249"/>
      <w:bookmarkStart w:id="30" w:name="_Toc51339693"/>
      <w:bookmarkStart w:id="31" w:name="_Toc75446573"/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val="x-none" w:eastAsia="x-none"/>
        </w:rPr>
        <w:t>Требования к продукции</w:t>
      </w:r>
      <w:bookmarkEnd w:id="30"/>
      <w:bookmarkEnd w:id="31"/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x-none"/>
        </w:rPr>
        <w:t>.</w:t>
      </w:r>
      <w:bookmarkEnd w:id="28"/>
      <w:bookmarkEnd w:id="29"/>
    </w:p>
    <w:p>
      <w:pPr>
        <w:pStyle w:val="Heading4"/>
        <w:numPr>
          <w:ilvl w:val="1"/>
          <w:numId w:val="3"/>
        </w:numPr>
        <w:spacing w:before="120" w:after="0"/>
        <w:ind w:hanging="567" w:left="567"/>
        <w:rPr/>
      </w:pPr>
      <w:bookmarkStart w:id="32" w:name="_Toc75446574"/>
      <w:r>
        <w:rPr>
          <w:bCs w:val="false"/>
        </w:rPr>
        <w:t>Требования к объёмам и срокам поставк</w:t>
      </w:r>
      <w:r>
        <w:rPr/>
        <w:t>и</w:t>
      </w:r>
      <w:bookmarkEnd w:id="32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/>
        <w:outlineLvl w:val="2"/>
        <w:rPr>
          <w:rFonts w:ascii="Times New Roman" w:hAnsi="Times New Roman"/>
          <w:sz w:val="24"/>
          <w:szCs w:val="24"/>
        </w:rPr>
      </w:pPr>
      <w:bookmarkStart w:id="33" w:name="_Toc141772990"/>
      <w:bookmarkStart w:id="34" w:name="_Toc75446575"/>
      <w:bookmarkStart w:id="35" w:name="_Toc125473250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33"/>
      <w:bookmarkEnd w:id="34"/>
      <w:bookmarkEnd w:id="35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outlineLvl w:val="0"/>
        <w:rPr>
          <w:rFonts w:ascii="Times New Roman" w:hAnsi="Times New Roman"/>
          <w:sz w:val="24"/>
          <w:szCs w:val="24"/>
        </w:rPr>
      </w:pPr>
      <w:bookmarkStart w:id="36" w:name="_Toc75446576"/>
      <w:bookmarkStart w:id="37" w:name="_Toc141772991"/>
      <w:bookmarkStart w:id="38" w:name="_Toc125473251"/>
      <w:bookmarkStart w:id="39" w:name="_Toc51339695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39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36"/>
      <w:bookmarkEnd w:id="37"/>
      <w:bookmarkEnd w:id="38"/>
    </w:p>
    <w:tbl>
      <w:tblPr>
        <w:tblW w:w="10064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0"/>
        <w:gridCol w:w="6096"/>
        <w:gridCol w:w="1423"/>
        <w:gridCol w:w="1834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Бензин АИ-92 ГОСТ 32513-2023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62880</w:t>
            </w:r>
          </w:p>
        </w:tc>
      </w:tr>
      <w:tr>
        <w:trPr>
          <w:trHeight w:val="32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Бензин АИ-95 ГОСТ 32513-2023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11400</w:t>
            </w:r>
          </w:p>
        </w:tc>
      </w:tr>
      <w:tr>
        <w:trPr>
          <w:trHeight w:val="32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Дизельное топливо (по сезонности ) ГОСТ 32511-2013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22200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>*Заявленный объем является ориентировочный, отпуск ГСМ будет производиться по ценам АЗС на дату заправки автомобильного транспорта.</w:t>
      </w:r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/>
        <w:outlineLvl w:val="2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Т</w:t>
      </w:r>
      <w:bookmarkStart w:id="40" w:name="_Toc141772992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ребования к срокам поставки продукции</w:t>
      </w:r>
      <w:bookmarkEnd w:id="40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outlineLvl w:val="0"/>
        <w:rPr>
          <w:rFonts w:ascii="Times New Roman" w:hAnsi="Times New Roman"/>
          <w:sz w:val="24"/>
          <w:szCs w:val="24"/>
        </w:rPr>
      </w:pPr>
      <w:bookmarkStart w:id="41" w:name="_Toc125473253"/>
      <w:bookmarkStart w:id="42" w:name="_Toc141772993"/>
      <w:bookmarkStart w:id="43" w:name="_Toc75446579"/>
      <w:bookmarkStart w:id="44" w:name="_Toc50125127"/>
      <w:bookmarkStart w:id="45" w:name="_Toc51339697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46" w:name="_Hlk50465284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44"/>
      <w:bookmarkEnd w:id="45"/>
      <w:bookmarkEnd w:id="46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41"/>
      <w:bookmarkEnd w:id="42"/>
      <w:bookmarkEnd w:id="43"/>
      <w:r>
        <w:rPr>
          <w:rFonts w:eastAsia="Calibri"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1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"/>
        <w:gridCol w:w="3232"/>
        <w:gridCol w:w="3118"/>
        <w:gridCol w:w="3261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продукции*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ОКПД 2: 19.20.21Поставка горюче-смазочных материалов для нужд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Северо-Кавказского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филиала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31.12.202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x-none"/>
        </w:rPr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>* согласно графиков выполнения работ в рамках договоров подряда.</w:t>
      </w:r>
    </w:p>
    <w:p>
      <w:pPr>
        <w:pStyle w:val="Heading4"/>
        <w:numPr>
          <w:ilvl w:val="1"/>
          <w:numId w:val="3"/>
        </w:numPr>
        <w:spacing w:before="120" w:after="0"/>
        <w:ind w:hanging="567" w:left="567"/>
        <w:rPr/>
      </w:pPr>
      <w:r>
        <w:rPr/>
        <w:t xml:space="preserve"> </w:t>
      </w:r>
      <w:bookmarkStart w:id="47" w:name="_Toc125473255"/>
      <w:r>
        <w:rPr/>
        <w:t>Требования к качеству продукции</w:t>
      </w:r>
      <w:bookmarkEnd w:id="47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outlineLvl w:val="0"/>
        <w:rPr>
          <w:rFonts w:ascii="Times New Roman" w:hAnsi="Times New Roman"/>
          <w:sz w:val="24"/>
          <w:szCs w:val="24"/>
        </w:rPr>
      </w:pPr>
      <w:bookmarkStart w:id="48" w:name="_Toc141772994"/>
      <w:bookmarkStart w:id="49" w:name="_Toc125473256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48"/>
      <w:bookmarkEnd w:id="49"/>
      <w:r>
        <w:rPr>
          <w:rFonts w:eastAsia="Calibri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Наименование продукции 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ar-SA"/>
        </w:rPr>
        <w:t>(в соответствии с Т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аблицей 1.1): 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eastAsia="ru-RU"/>
        </w:rPr>
        <w:t xml:space="preserve">ОКПД 2: 19.20.21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Поставка горюче-смазочных материалов для нужд 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eastAsia="ru-RU"/>
        </w:rPr>
        <w:t>Северо-Кавказского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филиала.</w:t>
      </w:r>
    </w:p>
    <w:tbl>
      <w:tblPr>
        <w:tblStyle w:val="32"/>
        <w:tblW w:w="101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1895"/>
        <w:gridCol w:w="2670"/>
        <w:gridCol w:w="2388"/>
        <w:gridCol w:w="2572"/>
      </w:tblGrid>
      <w:tr>
        <w:trPr/>
        <w:tc>
          <w:tcPr>
            <w:tcW w:w="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60" w:after="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8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25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uppressAutoHyphens w:val="true"/>
              <w:spacing w:lineRule="auto" w:line="240" w:before="60" w:after="0"/>
              <w:ind w:firstLine="142" w:left="-117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получаемого ГСМ по топливным </w:t>
            </w:r>
            <w:r>
              <w:rPr>
                <w:rFonts w:eastAsia="Times New Roman" w:cs="Times New Roman" w:ascii="Times New Roman" w:hAnsi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>картам должно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соответствовать: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ГОСТ 32513-2023 Бензин автомобильный;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ГОСТ 32511-2013 Топливо дизельное ЕВРО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45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1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Гарантия качества ГСМ действует в течение сроков, указанных в ГОСТах, ТУ и сертификатах качества.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2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45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случаях поставки ГСМ с отступлениями от условий, указанных в настоящих ТТ, ухудшившими результат обеспечения ГСМ, или с иными недостатками, которые делают ГСМ непригодными для предусмотренного в Договоре использования, Заказчик вправе потребовать от Победителя безвозмездного устранения недостатков в разумный срок. Предоставление некачественных ГСМ приравнивается к их не предоставлению.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Заказчик вправе требовать от Победителя возмещение стоимости некачественных ГСМ и возмещение реального ущерба, понесенного Заказчиком, в связи с предоставленными Заказчику некачественными ГСМ.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Заказчик вправе проводить выборочный контроль качества, поставляемых ГСМ, в аккредитованной лаборатории. В случае установления некачественных ГСМ, поставленных Заказчику расходы на проведение экспертизы, несет Победитедь.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45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456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Победитель обязан обеспечить возможность предоставления копии сертификата качества на поставляемые ГСМ по требованию Заказчика в момент получения ГСМ по топливной карте на АЗС.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4565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77" w:hRule="atLeast"/>
        </w:trPr>
        <w:tc>
          <w:tcPr>
            <w:tcW w:w="61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1895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70" w:type="dxa"/>
            <w:tcBorders>
              <w:left w:val="nil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Сеть АЗС Победителя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 территории КБР и РСО-Алания (обязательно наличие на территории КБР: как минимум по одной заправки в г.Нальчик, ,г.Прохладный,  Урванском районе, Чегемском районе, Черекском районе, Зольском районе,  Лескенском районе;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 территории РСО-А: в г.Владикавказ, Алагирском районе, г.Алагир, Правобережном районе, г.Беслан)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34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Стоимость ГСМ, получаемых по топливным картам  на АЗС, не должна превышать стоимость ГСМ, указанную на стеле АЗС в день заправки транспортного средства с учетом итоговой скидки, предложенной в ходе проведения закупки Участником.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086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5.2.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Предоставление доступа в личный кабинет Пользователя (Заказчика) посредством регистрации на официальном сайте Победителя в сети Интернет с целью получения информации о состоянии лицевого счета и совершенным операциям по топливным  картам  в режиме реального времени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5.3.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Ежемесячное представление отчета об объеме отпуска ГСМ с детализацией по топливным картам 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5.4.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После каждой операции с использованием топливной карты Заказчику на АЗС в обязательном порядке выдается чек терминала. В случае успешного обслуживания – чек о совершенной операции. В случае неуспешной операции с топливной  картой – чек отказа с указанием  причины отказа в совершении операции.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5.5.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программного обеспечение для проведения полного комплекса операций по отпуску ГСМ с использованием топливных  карт.</w:t>
            </w:r>
          </w:p>
        </w:tc>
        <w:tc>
          <w:tcPr>
            <w:tcW w:w="238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Необходимое количество топливных карт определяется Заказчиком самостоятельно, исходя из текущей потребности, и предоставляются Победителю на основании письменной заявки. Ориентировочная потребность Заказчика в топливных картах составляет 24 штук.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предоставляются Победителем бесплатно.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должны обеспечить получение ГСМ с учетом установленных Заказчиком лимитов, либо с отсутствием   таковых. При полном использовании денежных средств Заказчиком Победитель обязан заблаговременно уведомить Заказчика.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Наличие возможности установления ежесуточного/ежемесячного лимита на количество отпускаемого ГСМ по топливным картам, независимо от состояния счета Заказчика.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Победителю необходимо обеспечить возможность удаленного блокирования  топливных карт как через сервис поддержки Поставщика, так и через личный кабинет Пользователя.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Победитель обязан блокировать / разблокировать топливные карты в течение 12 (двенадцати) часов с момента получения соответствующего обращения Заказчика через личный кабинет Пользователя или направлением  заявки в свободной форме на электронную почту Победителя.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6.6.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Топливные карты могут быть заблокированы: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по требованию Заказчика;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по причине неверно введенного пин-кода топливной карты на АЗС при получении ГСМ более 3 (трех) раз подряд (блокируется автоматически);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при завершении действия  Договора.</w:t>
            </w:r>
          </w:p>
        </w:tc>
        <w:tc>
          <w:tcPr>
            <w:tcW w:w="238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6.7.</w:t>
            </w:r>
          </w:p>
        </w:tc>
        <w:tc>
          <w:tcPr>
            <w:tcW w:w="4565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ГСМ транспортных средств Заказчика  должно осуществляться ежедневно, в круглосуточном режиме, включая выходные и праздничные дни, на период действия договора, на стационарных автозаправочных станциях во всех регионах РФ (далее – АЗС) с использованием топливных карт.</w:t>
            </w:r>
          </w:p>
        </w:tc>
        <w:tc>
          <w:tcPr>
            <w:tcW w:w="23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7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sectPr>
      <w:footerReference w:type="default" r:id="rId2"/>
      <w:type w:val="nextPage"/>
      <w:pgSz w:w="11906" w:h="16838"/>
      <w:pgMar w:left="1134" w:right="851" w:gutter="0" w:header="0" w:top="680" w:footer="0" w:bottom="68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PT Sans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27846314"/>
    </w:sdtPr>
    <w:sdtContent>
      <w:p>
        <w:pPr>
          <w:pStyle w:val="Footer"/>
          <w:jc w:val="right"/>
          <w:rPr>
            <w:rFonts w:ascii="Times New Roman" w:hAnsi="Times New Roman"/>
            <w:sz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65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011af9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77e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011af9"/>
    <w:pPr>
      <w:keepNext w:val="true"/>
      <w:spacing w:lineRule="auto" w:line="240" w:before="120" w:after="60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011af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uiPriority w:val="99"/>
    <w:qFormat/>
    <w:rsid w:val="00eb4ab8"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1533cc"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d27f2b"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uiPriority w:val="99"/>
    <w:semiHidden/>
    <w:qFormat/>
    <w:rsid w:val="00d35997"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sid w:val="00770603"/>
    <w:rPr/>
  </w:style>
  <w:style w:type="character" w:styleId="Bodytext2" w:customStyle="1">
    <w:name w:val="Body text (2)"/>
    <w:basedOn w:val="DefaultParagraphFont"/>
    <w:qFormat/>
    <w:rsid w:val="00c56bda"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sid w:val="00c56bda"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56bda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semiHidden/>
    <w:qFormat/>
    <w:rsid w:val="00c56bda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c56bda"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uiPriority w:val="34"/>
    <w:qFormat/>
    <w:locked/>
    <w:rsid w:val="000d5e13"/>
    <w:rPr/>
  </w:style>
  <w:style w:type="character" w:styleId="1" w:customStyle="1">
    <w:name w:val="Заголовок 1 Знак"/>
    <w:basedOn w:val="DefaultParagraphFont"/>
    <w:qFormat/>
    <w:rsid w:val="00011af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011af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011af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71f1b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c77e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Текст сноски Знак"/>
    <w:basedOn w:val="DefaultParagraphFont"/>
    <w:qFormat/>
    <w:rsid w:val="004148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Символ сноски"/>
    <w:qFormat/>
    <w:rsid w:val="0041486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uiPriority w:val="99"/>
    <w:rsid w:val="00eb4a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link w:val="Style11"/>
    <w:uiPriority w:val="34"/>
    <w:qFormat/>
    <w:rsid w:val="00bc249e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6"/>
    <w:uiPriority w:val="99"/>
    <w:unhideWhenUsed/>
    <w:rsid w:val="001533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27f2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8"/>
    <w:uiPriority w:val="99"/>
    <w:semiHidden/>
    <w:unhideWhenUsed/>
    <w:qFormat/>
    <w:rsid w:val="00d35997"/>
    <w:pPr>
      <w:spacing w:lineRule="auto" w:line="240" w:before="0" w:after="0"/>
    </w:pPr>
    <w:rPr>
      <w:rFonts w:ascii="Calibri" w:hAnsi="Calibri"/>
      <w:szCs w:val="21"/>
    </w:rPr>
  </w:style>
  <w:style w:type="paragraph" w:styleId="Annotationtext">
    <w:name w:val="annotation text"/>
    <w:basedOn w:val="Normal"/>
    <w:link w:val="Style9"/>
    <w:semiHidden/>
    <w:unhideWhenUsed/>
    <w:qFormat/>
    <w:rsid w:val="00c56b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56bda"/>
    <w:pPr/>
    <w:rPr>
      <w:b/>
      <w:bCs/>
    </w:rPr>
  </w:style>
  <w:style w:type="paragraph" w:styleId="Default" w:customStyle="1">
    <w:name w:val="Default"/>
    <w:qFormat/>
    <w:rsid w:val="00e13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71f1b"/>
    <w:pPr>
      <w:keepLines/>
      <w:spacing w:lineRule="auto" w:line="276" w:before="480" w:after="0"/>
      <w:outlineLvl w:val="9"/>
    </w:pPr>
    <w:rPr>
      <w:rFonts w:ascii="Cambria" w:hAnsi="Cambria" w:eastAsia="" w:cs="" w:asciiTheme="majorHAnsi" w:cstheme="majorBidi" w:eastAsiaTheme="majorEastAsia" w:hAnsiTheme="majorHAnsi"/>
      <w:bCs/>
      <w:color w:val="365F91" w:themeColor="accent1" w:themeShade="bf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71f1b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71f1b"/>
    <w:pPr>
      <w:spacing w:before="0" w:after="100"/>
      <w:ind w:left="2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071f1b"/>
    <w:pPr>
      <w:spacing w:before="0" w:after="100"/>
      <w:ind w:left="440"/>
    </w:pPr>
    <w:rPr/>
  </w:style>
  <w:style w:type="paragraph" w:styleId="FootnoteText">
    <w:name w:val="Footnote Text"/>
    <w:basedOn w:val="Normal"/>
    <w:link w:val="Style12"/>
    <w:rsid w:val="0041486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51513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a92f9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2f4a7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1d3a4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1"/>
    <w:basedOn w:val="a1"/>
    <w:uiPriority w:val="39"/>
    <w:rsid w:val="00ea7e9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39"/>
    <w:rsid w:val="00ea7e9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"/>
    <w:basedOn w:val="a1"/>
    <w:uiPriority w:val="39"/>
    <w:rsid w:val="00dc7670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65F6-8147-44BA-A6EB-0F118A91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Application>AlterOffice/2026.2.0.0$Linux_X86_64 LibreOffice_project/bc4ef1adf80b36c7a6365f8ed6cbf29021361edd</Application>
  <AppVersion>15.0000</AppVersion>
  <Pages>7</Pages>
  <Words>958</Words>
  <Characters>6959</Characters>
  <CharactersWithSpaces>7869</CharactersWithSpaces>
  <Paragraphs>151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2025-07-01T07:07:00Z</dcterms:created>
  <dc:creator>Катков Олег Валерьевич</dc:creator>
  <dc:description/>
  <dc:language>ru-RU</dc:language>
  <cp:lastModifiedBy>velikosvyatnn@corp.gidroogk.com</cp:lastModifiedBy>
  <cp:lastPrinted>2023-08-15T06:44:00Z</cp:lastPrinted>
  <dcterms:modified xsi:type="dcterms:W3CDTF">2026-07-03T14:22:10Z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