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  <w:bookmarkStart w:id="6" w:name="_Toc141696704_Копия_1"/>
      <w:bookmarkStart w:id="7" w:name="_Toc139856287_Копия_1"/>
      <w:bookmarkStart w:id="8" w:name="_Toc137554584_Копия_1"/>
      <w:bookmarkStart w:id="9" w:name="_Toc141696704_Копия_1"/>
      <w:bookmarkStart w:id="10" w:name="_Toc139856287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  <w:highlight w:val="none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</w:r>
    </w:p>
    <w:p>
      <w:pPr>
        <w:pStyle w:val="Normal"/>
        <w:keepNext w:val="true"/>
        <w:keepLines/>
        <w:bidi w:val="0"/>
        <w:spacing w:lineRule="auto" w:line="360"/>
        <w:jc w:val="center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</w:rPr>
        <w:t>ОКПД 2 77.11.10.000 Оказание услуг  по найму в аренду легкового автомобиля для специалистов АО «ВНИИГ им. Б.Е. Веденеева» выполняющих работы на территории Сенгилеевской ГЭС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i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  <w:r>
        <w:br w:type="page"/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b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hd w:fill="auto" w:val="clear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hd w:fill="auto" w:val="clear"/>
              <w:vanish w:val="false"/>
            </w:rPr>
            <w:fldChar w:fldCharType="separate"/>
          </w:r>
          <w:hyperlink w:anchor="_Toc148966231">
            <w:r>
              <w:rPr>
                <w:webHidden/>
                <w:rStyle w:val="Style14"/>
                <w:vanish w:val="false"/>
                <w:shd w:fill="auto" w:val="clear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48966242">
            <w:r>
              <w:rPr>
                <w:webHidden/>
                <w:rStyle w:val="Style14"/>
                <w:iCs/>
                <w:vanish w:val="false"/>
                <w:shd w:fill="auto" w:val="clear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48966243">
            <w:r>
              <w:rPr>
                <w:webHidden/>
                <w:rStyle w:val="Style14"/>
                <w:iCs/>
                <w:vanish w:val="false"/>
                <w:shd w:fill="auto" w:val="clear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48966244">
            <w:r>
              <w:rPr>
                <w:webHidden/>
                <w:rStyle w:val="Style14"/>
                <w:iCs/>
                <w:vanish w:val="false"/>
                <w:shd w:fill="auto" w:val="clear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_Toc148966244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r>
            <w:rPr>
              <w:color w:val="000000" w:themeColor="text1"/>
              <w:shd w:fill="auto" w:val="clear"/>
            </w:rPr>
            <w:t>1.4</w:t>
          </w:r>
          <w:r>
            <w:rPr>
              <w:color w:val="000000" w:themeColor="text1"/>
              <w:shd w:fill="auto" w:val="clear"/>
              <w:lang w:val="en-US"/>
            </w:rPr>
            <w:t>.</w:t>
          </w:r>
          <w:hyperlink w:anchor="_Toc148966246">
            <w:r>
              <w:rPr>
                <w:webHidden/>
                <w:rStyle w:val="Style14"/>
                <w:rFonts w:eastAsia="" w:cs="" w:ascii="Calibri" w:hAnsi="Calibri" w:asciiTheme="minorHAnsi" w:cstheme="minorBidi" w:eastAsiaTheme="minorEastAsia" w:hAnsiTheme="minorHAnsi"/>
                <w:vanish w:val="false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Таблица 1. Перечень объектов заказчика.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_Toc148966246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148966250">
            <w:r>
              <w:rPr>
                <w:webHidden/>
                <w:rStyle w:val="Style14"/>
                <w:vanish w:val="false"/>
                <w:shd w:fill="auto" w:val="clear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iCs/>
                <w:shd w:fill="auto" w:val="clear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48966251">
            <w:r>
              <w:rPr>
                <w:webHidden/>
                <w:rStyle w:val="Style14"/>
                <w:iCs/>
                <w:vanish w:val="false"/>
                <w:shd w:fill="auto" w:val="clear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4896625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hd w:fill="auto" w:val="clear"/>
              </w:rPr>
              <w:t>2.1.1Требования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896625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hd w:fill="auto" w:val="clear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4896625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hd w:fill="auto" w:val="clear"/>
              </w:rPr>
              <w:t>2.1.2.Требования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896625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hd w:fill="auto" w:val="clear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48966256">
            <w:r>
              <w:rPr>
                <w:webHidden/>
                <w:rStyle w:val="Style14"/>
                <w:iCs/>
                <w:vanish w:val="false"/>
                <w:shd w:fill="auto" w:val="clear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shd w:fill="auto" w:val="clear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hd w:fill="auto" w:val="clear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4896625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_Toc148966257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hd w:fill="auto" w:val="clear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hd w:fill="auto" w:val="clear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rFonts w:eastAsia="Times New Roman" w:cs="Calibri Light (Заголовки)"/>
          <w:b w:val="false"/>
          <w:i/>
          <w:i/>
          <w:highlight w:val="none"/>
          <w:shd w:fill="auto" w:val="clear"/>
          <w:lang w:val="ru-RU" w:eastAsia="ru-RU"/>
        </w:rPr>
      </w:pPr>
      <w:r>
        <w:rPr>
          <w:rFonts w:eastAsia="Times New Roman" w:cs="Calibri Light (Заголовки)"/>
          <w:b w:val="false"/>
          <w:i/>
          <w:shd w:fill="auto" w:val="clear"/>
          <w:lang w:val="ru-RU" w:eastAsia="ru-RU"/>
        </w:rPr>
      </w:r>
    </w:p>
    <w:p>
      <w:pPr>
        <w:pStyle w:val="Normal"/>
        <w:rPr>
          <w:rFonts w:cs="Calibri Light (Заголовки)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Calibri Light (Заголовки)"/>
          <w:bCs/>
          <w:i/>
          <w:sz w:val="24"/>
          <w:szCs w:val="24"/>
          <w:shd w:fill="auto" w:val="clear"/>
        </w:rPr>
      </w:r>
      <w:r>
        <w:br w:type="page"/>
      </w:r>
    </w:p>
    <w:p>
      <w:pPr>
        <w:pStyle w:val="Normal"/>
        <w:spacing w:before="0" w:after="0"/>
        <w:rPr>
          <w:rFonts w:eastAsia="Calibri"/>
          <w:b/>
          <w:i/>
          <w:i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i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highlight w:val="none"/>
          <w:shd w:fill="auto" w:val="clear"/>
        </w:rPr>
      </w:pPr>
      <w:bookmarkStart w:id="12" w:name="_Toc148966231"/>
      <w:r>
        <w:rPr>
          <w:shd w:fill="auto" w:val="clear"/>
          <w:lang w:val="ru-RU"/>
        </w:rPr>
        <w:t>Общие сведения</w:t>
      </w:r>
      <w:bookmarkEnd w:id="12"/>
    </w:p>
    <w:p>
      <w:pPr>
        <w:pStyle w:val="Heading4"/>
        <w:numPr>
          <w:ilvl w:val="1"/>
          <w:numId w:val="3"/>
        </w:numPr>
        <w:ind w:left="574" w:hanging="432"/>
        <w:rPr>
          <w:highlight w:val="none"/>
          <w:shd w:fill="auto" w:val="clear"/>
        </w:rPr>
      </w:pPr>
      <w:bookmarkStart w:id="13" w:name="_Toc148966242"/>
      <w:bookmarkStart w:id="14" w:name="_Toc148965729"/>
      <w:bookmarkStart w:id="15" w:name="_Toc46743506"/>
      <w:bookmarkStart w:id="16" w:name="_Toc148966241"/>
      <w:bookmarkStart w:id="17" w:name="_Toc148966125"/>
      <w:bookmarkStart w:id="18" w:name="_Toc148965728"/>
      <w:bookmarkStart w:id="19" w:name="_Toc148966240"/>
      <w:bookmarkStart w:id="20" w:name="_Toc148966124"/>
      <w:bookmarkStart w:id="21" w:name="_Toc148965727"/>
      <w:bookmarkStart w:id="22" w:name="_Toc148966237"/>
      <w:bookmarkStart w:id="23" w:name="_Toc148966121"/>
      <w:bookmarkStart w:id="24" w:name="_Toc148965724"/>
      <w:bookmarkStart w:id="25" w:name="_Toc148966234"/>
      <w:bookmarkStart w:id="26" w:name="_Toc148966118"/>
      <w:bookmarkStart w:id="27" w:name="_Toc148965721"/>
      <w:bookmarkStart w:id="28" w:name="_Toc148966233"/>
      <w:bookmarkStart w:id="29" w:name="_Toc148966117"/>
      <w:bookmarkStart w:id="30" w:name="_Toc148965720"/>
      <w:bookmarkStart w:id="31" w:name="_Toc148966232"/>
      <w:bookmarkStart w:id="32" w:name="_Toc148966116"/>
      <w:bookmarkStart w:id="33" w:name="_Toc148965719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shd w:fill="auto" w:val="clear"/>
        </w:rPr>
        <w:t>Наименование закупаемой продукции</w:t>
      </w:r>
      <w:bookmarkEnd w:id="13"/>
      <w:bookmarkEnd w:id="14"/>
      <w:bookmarkEnd w:id="15"/>
    </w:p>
    <w:p>
      <w:pPr>
        <w:pStyle w:val="Heading4"/>
        <w:numPr>
          <w:ilvl w:val="0"/>
          <w:numId w:val="0"/>
        </w:numPr>
        <w:ind w:left="142" w:hanging="0"/>
        <w:rPr/>
      </w:pPr>
      <w:r>
        <w:rPr>
          <w:b w:val="false"/>
          <w:bCs w:val="false"/>
          <w:shd w:fill="auto" w:val="clear"/>
          <w:lang w:val="ru-RU" w:eastAsia="ru-RU"/>
        </w:rPr>
        <w:t>Оказание услуг  по найму в аренду легкового автомобиля для специалистов АО «ВНИИГ им. Б.Е. Веденеева», выполняющих работы на территории Сенгилеевской ГЭС</w:t>
      </w:r>
      <w:r>
        <w:rPr>
          <w:rStyle w:val="Style8"/>
          <w:b/>
          <w:bCs w:val="false"/>
          <w:i w:val="false"/>
          <w:shd w:fill="auto" w:val="clear"/>
          <w:lang w:val="ru-RU" w:eastAsia="ru-RU"/>
        </w:rPr>
        <w:t>.</w:t>
      </w:r>
    </w:p>
    <w:p>
      <w:pPr>
        <w:pStyle w:val="Heading4"/>
        <w:numPr>
          <w:ilvl w:val="1"/>
          <w:numId w:val="3"/>
        </w:numPr>
        <w:ind w:left="574" w:hanging="432"/>
        <w:rPr>
          <w:highlight w:val="none"/>
          <w:shd w:fill="auto" w:val="clear"/>
        </w:rPr>
      </w:pPr>
      <w:bookmarkStart w:id="34" w:name="_Toc148966243"/>
      <w:bookmarkStart w:id="35" w:name="_Toc148965730"/>
      <w:bookmarkStart w:id="36" w:name="_Toc46743507"/>
      <w:r>
        <w:rPr>
          <w:shd w:fill="auto" w:val="clear"/>
        </w:rPr>
        <w:t xml:space="preserve">Цель </w:t>
      </w:r>
      <w:bookmarkEnd w:id="36"/>
      <w:r>
        <w:rPr>
          <w:shd w:fill="auto" w:val="clear"/>
        </w:rPr>
        <w:t>оказания услуг</w:t>
      </w:r>
      <w:bookmarkEnd w:id="34"/>
      <w:bookmarkEnd w:id="35"/>
      <w:r>
        <w:rPr>
          <w:shd w:fill="auto" w:val="clear"/>
        </w:rPr>
        <w:t xml:space="preserve"> </w:t>
      </w:r>
    </w:p>
    <w:p>
      <w:pPr>
        <w:pStyle w:val="Normal"/>
        <w:ind w:firstLine="431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Аренда транспортного средства для перемещения специалистов АО «ВНИИГ им. Б. Е. Веденеева»</w:t>
      </w:r>
      <w:r>
        <w:rPr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на территории Сенгилеевской ГЭС Каскада Кубанских ГЭС в Ставропольском крае.</w:t>
      </w:r>
    </w:p>
    <w:p>
      <w:pPr>
        <w:pStyle w:val="Heading4"/>
        <w:numPr>
          <w:ilvl w:val="1"/>
          <w:numId w:val="3"/>
        </w:numPr>
        <w:ind w:left="574" w:hanging="432"/>
        <w:rPr>
          <w:highlight w:val="none"/>
          <w:shd w:fill="auto" w:val="clear"/>
        </w:rPr>
      </w:pPr>
      <w:bookmarkStart w:id="37" w:name="_Toc148966244"/>
      <w:bookmarkStart w:id="38" w:name="_Toc148965731"/>
      <w:bookmarkStart w:id="39" w:name="_Toc46743508"/>
      <w:r>
        <w:rPr>
          <w:shd w:fill="auto" w:val="clear"/>
        </w:rPr>
        <w:t>Существующее положение</w:t>
      </w:r>
      <w:bookmarkEnd w:id="37"/>
      <w:bookmarkEnd w:id="38"/>
      <w:bookmarkEnd w:id="39"/>
      <w:r>
        <w:rPr>
          <w:shd w:fill="auto" w:val="clear"/>
        </w:rPr>
        <w:t xml:space="preserve"> </w:t>
      </w:r>
    </w:p>
    <w:p>
      <w:pPr>
        <w:pStyle w:val="Normal"/>
        <w:ind w:firstLine="432"/>
        <w:jc w:val="both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 xml:space="preserve">Арендатор использует Транспортное средство </w:t>
      </w:r>
      <w:r>
        <w:rPr>
          <w:rFonts w:eastAsia="Calibri"/>
          <w:b/>
          <w:sz w:val="24"/>
          <w:szCs w:val="24"/>
          <w:shd w:fill="auto" w:val="clear"/>
        </w:rPr>
        <w:t>без экипажа</w:t>
      </w:r>
      <w:r>
        <w:rPr>
          <w:rFonts w:eastAsia="Calibri"/>
          <w:sz w:val="24"/>
          <w:szCs w:val="24"/>
          <w:shd w:fill="auto" w:val="clear"/>
        </w:rPr>
        <w:t xml:space="preserve"> при оказании услуг по </w:t>
      </w:r>
      <w:r>
        <w:rPr>
          <w:rFonts w:eastAsia="Calibri"/>
          <w:iCs/>
          <w:color w:val="000000"/>
          <w:sz w:val="24"/>
          <w:szCs w:val="24"/>
          <w:shd w:fill="auto" w:val="clear"/>
        </w:rPr>
        <w:t xml:space="preserve">научно-техническому </w:t>
      </w:r>
      <w:r>
        <w:rPr>
          <w:rFonts w:eastAsia="Calibri"/>
          <w:sz w:val="24"/>
          <w:szCs w:val="24"/>
          <w:shd w:fill="auto" w:val="clear"/>
        </w:rPr>
        <w:t xml:space="preserve">сопровождению производства бетонных работ </w:t>
      </w:r>
      <w:r>
        <w:rPr>
          <w:shd w:fill="auto" w:val="clear"/>
        </w:rPr>
        <w:t xml:space="preserve"> </w:t>
      </w:r>
      <w:r>
        <w:rPr>
          <w:rFonts w:eastAsia="Calibri"/>
          <w:sz w:val="24"/>
          <w:szCs w:val="24"/>
          <w:shd w:fill="auto" w:val="clear"/>
        </w:rPr>
        <w:t>на объекте Сенгилеевская ГЭС для перевозки персонала Арендатора от места проживания до места проведения работ, по территории строительной площадки и сооружениями ГТС.</w:t>
      </w:r>
      <w:bookmarkStart w:id="40" w:name="_Toc148966245"/>
      <w:bookmarkStart w:id="41" w:name="_Toc148966129"/>
      <w:bookmarkStart w:id="42" w:name="_Toc148965732"/>
      <w:bookmarkEnd w:id="40"/>
      <w:bookmarkEnd w:id="41"/>
      <w:bookmarkEnd w:id="42"/>
    </w:p>
    <w:p>
      <w:pPr>
        <w:pStyle w:val="Heading4"/>
        <w:numPr>
          <w:ilvl w:val="1"/>
          <w:numId w:val="3"/>
        </w:numPr>
        <w:ind w:left="574" w:hanging="432"/>
        <w:rPr>
          <w:highlight w:val="none"/>
          <w:shd w:fill="auto" w:val="clear"/>
        </w:rPr>
      </w:pPr>
      <w:bookmarkStart w:id="43" w:name="_Toc148965733"/>
      <w:bookmarkStart w:id="44" w:name="_Toc148966246"/>
      <w:r>
        <w:rPr>
          <w:shd w:fill="auto" w:val="clear"/>
        </w:rPr>
        <w:t>Таблица 1</w:t>
      </w:r>
      <w:r>
        <w:rPr>
          <w:b w:val="false"/>
          <w:shd w:fill="auto" w:val="clear"/>
        </w:rPr>
        <w:t>. Перечень объектов заказчика</w:t>
      </w:r>
      <w:r>
        <w:rPr>
          <w:shd w:fill="auto" w:val="clear"/>
          <w:lang w:val="ru-RU"/>
        </w:rPr>
        <w:t>.</w:t>
      </w:r>
      <w:bookmarkStart w:id="45" w:name="_Toc148966247"/>
      <w:bookmarkStart w:id="46" w:name="_Toc148965734"/>
      <w:bookmarkEnd w:id="43"/>
      <w:bookmarkEnd w:id="44"/>
      <w:bookmarkEnd w:id="45"/>
      <w:bookmarkEnd w:id="46"/>
    </w:p>
    <w:tbl>
      <w:tblPr>
        <w:tblW w:w="961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4"/>
        <w:gridCol w:w="2866"/>
        <w:gridCol w:w="2129"/>
        <w:gridCol w:w="2122"/>
        <w:gridCol w:w="1824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объекта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  <w:shd w:fill="auto" w:val="clear"/>
              </w:rPr>
              <w:t>(место оказания услуг)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Заказчик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HiddenHorzOCR"/>
                <w:color w:val="0B0B0B"/>
                <w:sz w:val="24"/>
                <w:szCs w:val="24"/>
                <w:shd w:fill="auto" w:val="clear"/>
              </w:rPr>
              <w:t>Сенгилеевская ГЭС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HiddenHorzOCR"/>
                <w:color w:val="0B0B0B"/>
                <w:sz w:val="24"/>
                <w:szCs w:val="24"/>
                <w:shd w:fill="auto" w:val="clear"/>
              </w:rPr>
              <w:t>Каскада Кубанских ГЭС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п. Приозерный Шпаковского района Ставропольского края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000000"/>
                <w:sz w:val="24"/>
                <w:szCs w:val="24"/>
                <w:shd w:fill="auto" w:val="clear"/>
              </w:rPr>
              <w:t>Услуги по научно-техническому сопровождению реконструкции Сенгилеевской ГЭС каскада Кубанских ГЭС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АО «УК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ГидроОГК»</w:t>
            </w:r>
          </w:p>
        </w:tc>
      </w:tr>
    </w:tbl>
    <w:p>
      <w:pPr>
        <w:pStyle w:val="Normal"/>
        <w:rPr>
          <w:rFonts w:eastAsia="Calibri"/>
          <w:b/>
          <w:highlight w:val="none"/>
          <w:shd w:fill="auto" w:val="clear"/>
          <w:lang w:val="x-none" w:eastAsia="x-none"/>
        </w:rPr>
      </w:pPr>
      <w:r>
        <w:rPr>
          <w:rFonts w:eastAsia="Calibri"/>
          <w:b/>
          <w:shd w:fill="auto" w:val="clear"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highlight w:val="none"/>
          <w:shd w:fill="auto" w:val="clear"/>
        </w:rPr>
      </w:pPr>
      <w:bookmarkStart w:id="47" w:name="_Toc148966250"/>
      <w:bookmarkStart w:id="48" w:name="_Toc51339693"/>
      <w:bookmarkStart w:id="49" w:name="_Toc148966249"/>
      <w:bookmarkStart w:id="50" w:name="_Toc148966133"/>
      <w:bookmarkStart w:id="51" w:name="_Toc148965736"/>
      <w:bookmarkStart w:id="52" w:name="_Toc148966248"/>
      <w:bookmarkStart w:id="53" w:name="_Toc148966132"/>
      <w:bookmarkStart w:id="54" w:name="_Toc148965735"/>
      <w:bookmarkEnd w:id="49"/>
      <w:bookmarkEnd w:id="50"/>
      <w:bookmarkEnd w:id="51"/>
      <w:bookmarkEnd w:id="52"/>
      <w:bookmarkEnd w:id="53"/>
      <w:bookmarkEnd w:id="54"/>
      <w:r>
        <w:rPr>
          <w:iCs/>
          <w:shd w:fill="auto" w:val="clear"/>
          <w:lang w:val="ru-RU"/>
        </w:rPr>
        <w:t>Требования</w:t>
      </w:r>
      <w:r>
        <w:rPr>
          <w:iCs/>
          <w:shd w:fill="auto" w:val="clear"/>
        </w:rPr>
        <w:t xml:space="preserve"> к продукции</w:t>
      </w:r>
      <w:bookmarkEnd w:id="47"/>
      <w:bookmarkEnd w:id="48"/>
    </w:p>
    <w:p>
      <w:pPr>
        <w:pStyle w:val="Heading4"/>
        <w:numPr>
          <w:ilvl w:val="1"/>
          <w:numId w:val="3"/>
        </w:numPr>
        <w:ind w:left="574" w:hanging="432"/>
        <w:rPr>
          <w:highlight w:val="none"/>
          <w:shd w:fill="auto" w:val="clear"/>
        </w:rPr>
      </w:pPr>
      <w:bookmarkStart w:id="55" w:name="_Toc148966251"/>
      <w:r>
        <w:rPr>
          <w:shd w:fill="auto" w:val="clear"/>
        </w:rPr>
        <w:t xml:space="preserve">Требования к объемам и срокам </w:t>
      </w:r>
      <w:r>
        <w:rPr>
          <w:shd w:fill="auto" w:val="clear"/>
          <w:lang w:val="ru-RU"/>
        </w:rPr>
        <w:t>оказания услуг</w:t>
      </w:r>
      <w:bookmarkEnd w:id="55"/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56" w:name="_Toc148966252"/>
      <w:r>
        <w:rPr>
          <w:shd w:fill="auto" w:val="clear"/>
          <w:lang w:val="ru-RU"/>
        </w:rPr>
        <w:t>Требования к перечню и объему услуг</w:t>
      </w:r>
      <w:bookmarkEnd w:id="5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highlight w:val="none"/>
          <w:shd w:fill="auto" w:val="clear"/>
        </w:rPr>
      </w:pPr>
      <w:bookmarkStart w:id="57" w:name="_Toc148966253"/>
      <w:bookmarkStart w:id="58" w:name="_Toc51339695"/>
      <w:r>
        <w:rPr>
          <w:sz w:val="24"/>
          <w:szCs w:val="24"/>
          <w:shd w:fill="auto" w:val="clear"/>
        </w:rPr>
        <w:t xml:space="preserve">Таблица </w:t>
      </w:r>
      <w:r>
        <w:rPr>
          <w:sz w:val="24"/>
          <w:szCs w:val="24"/>
          <w:shd w:fill="auto" w:val="clear"/>
          <w:lang w:val="ru-RU"/>
        </w:rPr>
        <w:t>2.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  <w:lang w:val="ru-RU"/>
        </w:rPr>
        <w:t xml:space="preserve">Перечень </w:t>
      </w:r>
      <w:bookmarkEnd w:id="58"/>
      <w:r>
        <w:rPr>
          <w:sz w:val="24"/>
          <w:szCs w:val="24"/>
          <w:shd w:fill="auto" w:val="clear"/>
          <w:lang w:val="ru-RU"/>
        </w:rPr>
        <w:t>и объем оказываемых услуг</w:t>
      </w:r>
      <w:bookmarkEnd w:id="57"/>
    </w:p>
    <w:tbl>
      <w:tblPr>
        <w:tblW w:w="964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2"/>
        <w:gridCol w:w="4856"/>
        <w:gridCol w:w="1990"/>
        <w:gridCol w:w="1956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 / этапа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Аренда транспортного средства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ед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highlight w:val="none"/>
          <w:shd w:fill="auto" w:val="clear"/>
        </w:rPr>
      </w:pPr>
      <w:r>
        <w:rPr>
          <w:bCs/>
          <w:i/>
          <w:sz w:val="24"/>
          <w:szCs w:val="24"/>
          <w:shd w:fill="auto" w:val="clear"/>
        </w:rPr>
      </w:r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59" w:name="_Toc148966254"/>
      <w:bookmarkStart w:id="60" w:name="_Toc51339696"/>
      <w:r>
        <w:rPr>
          <w:shd w:fill="auto" w:val="clear"/>
          <w:lang w:val="ru-RU"/>
        </w:rPr>
        <w:t xml:space="preserve">Требования </w:t>
      </w:r>
      <w:bookmarkEnd w:id="60"/>
      <w:r>
        <w:rPr>
          <w:shd w:fill="auto" w:val="clear"/>
          <w:lang w:val="ru-RU"/>
        </w:rPr>
        <w:t>к срокам оказания услуг</w:t>
      </w:r>
      <w:bookmarkEnd w:id="5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highlight w:val="none"/>
          <w:shd w:fill="auto" w:val="clear"/>
        </w:rPr>
      </w:pPr>
      <w:bookmarkStart w:id="61" w:name="_Toc148966255"/>
      <w:bookmarkStart w:id="62" w:name="_Toc51339697"/>
      <w:bookmarkStart w:id="63" w:name="_Toc50125127"/>
      <w:r>
        <w:rPr>
          <w:sz w:val="24"/>
          <w:szCs w:val="24"/>
          <w:shd w:fill="auto" w:val="clear"/>
        </w:rPr>
        <w:t xml:space="preserve">Таблица </w:t>
      </w:r>
      <w:r>
        <w:rPr>
          <w:sz w:val="24"/>
          <w:szCs w:val="24"/>
          <w:shd w:fill="auto" w:val="clear"/>
          <w:lang w:val="ru-RU"/>
        </w:rPr>
        <w:t>3</w:t>
      </w:r>
      <w:r>
        <w:rPr>
          <w:sz w:val="24"/>
          <w:szCs w:val="24"/>
          <w:shd w:fill="auto" w:val="clear"/>
        </w:rPr>
        <w:t xml:space="preserve">. </w:t>
      </w:r>
      <w:bookmarkStart w:id="64" w:name="_Hlk50465284"/>
      <w:r>
        <w:rPr>
          <w:sz w:val="24"/>
          <w:szCs w:val="24"/>
          <w:shd w:fill="auto" w:val="clear"/>
        </w:rPr>
        <w:t xml:space="preserve">Требования </w:t>
      </w:r>
      <w:r>
        <w:rPr>
          <w:sz w:val="24"/>
          <w:szCs w:val="24"/>
          <w:shd w:fill="auto" w:val="clear"/>
          <w:lang w:val="ru-RU"/>
        </w:rPr>
        <w:t>к</w:t>
      </w:r>
      <w:r>
        <w:rPr>
          <w:sz w:val="24"/>
          <w:szCs w:val="24"/>
          <w:shd w:fill="auto" w:val="clear"/>
        </w:rPr>
        <w:t xml:space="preserve"> срокам </w:t>
      </w:r>
      <w:bookmarkEnd w:id="62"/>
      <w:bookmarkEnd w:id="63"/>
      <w:bookmarkEnd w:id="64"/>
      <w:r>
        <w:rPr>
          <w:sz w:val="24"/>
          <w:szCs w:val="24"/>
          <w:shd w:fill="auto" w:val="clear"/>
          <w:lang w:val="ru-RU"/>
        </w:rPr>
        <w:t>оказания услуг</w:t>
      </w:r>
      <w:bookmarkEnd w:id="61"/>
    </w:p>
    <w:tbl>
      <w:tblPr>
        <w:tblW w:w="9601" w:type="dxa"/>
        <w:jc w:val="left"/>
        <w:tblInd w:w="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8"/>
        <w:gridCol w:w="3697"/>
        <w:gridCol w:w="1844"/>
        <w:gridCol w:w="3121"/>
      </w:tblGrid>
      <w:tr>
        <w:trPr/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услуг/ этапа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оказания услуг/ этапа услуг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Аренда транспортного средства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 30.</w:t>
            </w:r>
            <w:r>
              <w:rPr>
                <w:sz w:val="24"/>
                <w:szCs w:val="24"/>
                <w:shd w:fill="auto" w:val="clear"/>
                <w:lang w:val="en-US"/>
              </w:rPr>
              <w:t>09</w:t>
            </w:r>
            <w:r>
              <w:rPr>
                <w:sz w:val="24"/>
                <w:szCs w:val="24"/>
                <w:shd w:fill="auto" w:val="clear"/>
              </w:rPr>
              <w:t>.202</w:t>
            </w:r>
            <w:r>
              <w:rPr>
                <w:sz w:val="24"/>
                <w:szCs w:val="24"/>
                <w:shd w:fill="auto" w:val="clear"/>
                <w:lang w:val="en-US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8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574" w:hanging="432"/>
        <w:rPr>
          <w:highlight w:val="none"/>
          <w:shd w:fill="auto" w:val="clear"/>
        </w:rPr>
      </w:pPr>
      <w:bookmarkStart w:id="65" w:name="_Toc51339698"/>
      <w:bookmarkStart w:id="66" w:name="_Toc148966256"/>
      <w:bookmarkStart w:id="67" w:name="_Toc46743511"/>
      <w:r>
        <w:rPr>
          <w:shd w:fill="auto" w:val="clear"/>
        </w:rPr>
        <w:t xml:space="preserve">Требования к </w:t>
      </w:r>
      <w:bookmarkEnd w:id="67"/>
      <w:r>
        <w:rPr>
          <w:shd w:fill="auto" w:val="clear"/>
          <w:lang w:val="ru-RU"/>
        </w:rPr>
        <w:t>качеству услуг</w:t>
      </w:r>
      <w:bookmarkEnd w:id="6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highlight w:val="none"/>
          <w:shd w:fill="auto" w:val="clear"/>
        </w:rPr>
      </w:pPr>
      <w:bookmarkStart w:id="68" w:name="_Toc148966257"/>
      <w:r>
        <w:rPr>
          <w:sz w:val="24"/>
          <w:szCs w:val="24"/>
          <w:shd w:fill="auto" w:val="clear"/>
        </w:rPr>
        <w:t>Таблица </w:t>
      </w:r>
      <w:r>
        <w:rPr>
          <w:sz w:val="24"/>
          <w:szCs w:val="24"/>
          <w:shd w:fill="auto" w:val="clear"/>
          <w:lang w:val="ru-RU"/>
        </w:rPr>
        <w:t>4</w:t>
      </w:r>
      <w:r>
        <w:rPr>
          <w:sz w:val="24"/>
          <w:szCs w:val="24"/>
          <w:shd w:fill="auto" w:val="clear"/>
        </w:rPr>
        <w:t xml:space="preserve">. Требования к </w:t>
      </w:r>
      <w:bookmarkEnd w:id="65"/>
      <w:r>
        <w:rPr>
          <w:sz w:val="24"/>
          <w:szCs w:val="24"/>
          <w:shd w:fill="auto" w:val="clear"/>
          <w:lang w:val="ru-RU"/>
        </w:rPr>
        <w:t>качеству услуг</w:t>
      </w:r>
      <w:bookmarkEnd w:id="68"/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ind w:firstLine="708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Техническое состояние транспортного средства подтверждается действующим талоном о прохождении технического осмотра Автомобиля, осмотром и проверкой работоспособности двигателя и иного оборудования, установленного на Транспортном средстве. Транспортное средство, передаваемое в аренду, должно быть в исправном состоянии и отвечать требованиям, предъявляемым к эксплуатируемым ТС, используемым для производственных, потребительских, коммерческих и иных целей в соответствии с конструктивным назначением арендуемых ТС</w:t>
      </w:r>
    </w:p>
    <w:p>
      <w:pPr>
        <w:pStyle w:val="Normal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 xml:space="preserve">Наименование услуг/этапа услуг (позиция № </w:t>
      </w:r>
      <w:r>
        <w:rPr>
          <w:shd w:fill="auto" w:val="clear"/>
        </w:rPr>
        <w:t xml:space="preserve">1 </w:t>
      </w:r>
      <w:r>
        <w:rPr>
          <w:b/>
          <w:bCs/>
          <w:sz w:val="24"/>
          <w:szCs w:val="24"/>
          <w:shd w:fill="auto" w:val="clear"/>
        </w:rPr>
        <w:t>Таблицы 2):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6"/>
        <w:gridCol w:w="2248"/>
        <w:gridCol w:w="8343"/>
      </w:tblGrid>
      <w:tr>
        <w:trPr>
          <w:tblHeader w:val="true"/>
        </w:trPr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3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bookmarkStart w:id="69" w:name="_Toc53499667"/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</w:t>
            </w:r>
            <w:bookmarkEnd w:id="69"/>
          </w:p>
        </w:tc>
        <w:tc>
          <w:tcPr>
            <w:tcW w:w="224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834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3</w:t>
            </w:r>
          </w:p>
        </w:tc>
      </w:tr>
      <w:tr>
        <w:trPr>
          <w:tblHeader w:val="true"/>
        </w:trPr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05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</w:r>
          </w:p>
        </w:tc>
        <w:tc>
          <w:tcPr>
            <w:tcW w:w="1059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172" w:hRule="atLeast"/>
        </w:trPr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0" w:after="0"/>
              <w:ind w:left="1224" w:hanging="1199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Категория ТС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</w:t>
            </w:r>
          </w:p>
        </w:tc>
      </w:tr>
      <w:tr>
        <w:trPr>
          <w:trHeight w:val="70" w:hRule="atLeast"/>
        </w:trPr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pacing w:before="0" w:after="0"/>
              <w:ind w:left="1224" w:hanging="1199"/>
              <w:contextualSpacing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22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Привод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Полный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1.1.3</w:t>
            </w:r>
          </w:p>
        </w:tc>
        <w:tc>
          <w:tcPr>
            <w:tcW w:w="22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Посадочные места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Не менее 4</w:t>
            </w:r>
          </w:p>
        </w:tc>
      </w:tr>
      <w:tr>
        <w:trPr/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1.1.4</w:t>
            </w:r>
          </w:p>
        </w:tc>
        <w:tc>
          <w:tcPr>
            <w:tcW w:w="224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Количество дверей в автомобиле</w:t>
            </w:r>
          </w:p>
        </w:tc>
        <w:tc>
          <w:tcPr>
            <w:tcW w:w="83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 менее 2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1.1.5</w:t>
            </w:r>
          </w:p>
        </w:tc>
        <w:tc>
          <w:tcPr>
            <w:tcW w:w="22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Год выпуска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Не ранее 2016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1.1.6</w:t>
            </w:r>
          </w:p>
        </w:tc>
        <w:tc>
          <w:tcPr>
            <w:tcW w:w="22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Усилитель руля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Электрический/гидравлический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1.1.7</w:t>
            </w:r>
          </w:p>
        </w:tc>
        <w:tc>
          <w:tcPr>
            <w:tcW w:w="22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Клиренс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Не менее 150 мм.</w:t>
            </w:r>
          </w:p>
        </w:tc>
      </w:tr>
      <w:tr>
        <w:trPr/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1.1.8</w:t>
            </w:r>
          </w:p>
        </w:tc>
        <w:tc>
          <w:tcPr>
            <w:tcW w:w="224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Система кондиционирования</w:t>
            </w:r>
          </w:p>
        </w:tc>
        <w:tc>
          <w:tcPr>
            <w:tcW w:w="83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Наличие системы кондиционирования</w:t>
            </w:r>
          </w:p>
        </w:tc>
      </w:tr>
      <w:tr>
        <w:trPr>
          <w:trHeight w:val="561" w:hRule="atLeast"/>
        </w:trPr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1.1.9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Системы безопасности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Антиблокировочная система (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en-US" w:eastAsia="ru-RU" w:bidi="ar-SA"/>
              </w:rPr>
              <w:t>ABS)</w:t>
            </w:r>
          </w:p>
        </w:tc>
      </w:tr>
      <w:tr>
        <w:trPr>
          <w:trHeight w:val="561" w:hRule="atLeast"/>
        </w:trPr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1.1.10</w:t>
            </w:r>
          </w:p>
        </w:tc>
        <w:tc>
          <w:tcPr>
            <w:tcW w:w="224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Подогрев передних сидений</w:t>
            </w:r>
          </w:p>
        </w:tc>
        <w:tc>
          <w:tcPr>
            <w:tcW w:w="834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Наличие подогрева передних сидений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1.1.11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Внутреннее оснащение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Медицинская аптечка, огнетушитель, знак аварийной остановки, буксировочный трос, комплект инструментов для оперативного ремонта, комплект зимней резины и зимними стеклоочистителями (в зимнее время)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1.1.12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Иные требования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стоимость аренды входит техническое обслуживание и ремонт автомобиля; поддержка технических жидкостей и смазочных материалов в установленном в руководстве по эксплуатации количестве.</w:t>
            </w:r>
            <w:bookmarkStart w:id="70" w:name="_GoBack"/>
            <w:bookmarkEnd w:id="70"/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1.1.13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Иные требования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В стоимость аренды входит мойка кузова и салона авто не реже чем 2 раза в месяц.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1.1.14</w:t>
            </w:r>
          </w:p>
        </w:tc>
        <w:tc>
          <w:tcPr>
            <w:tcW w:w="224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Иные требования</w:t>
            </w:r>
          </w:p>
        </w:tc>
        <w:tc>
          <w:tcPr>
            <w:tcW w:w="83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Передача и прием автомобиля происходит в п. Приозерный Шпаковского района Ставропольского края, РФ или в г. Ставрополь по согласованию.</w:t>
            </w:r>
          </w:p>
        </w:tc>
      </w:tr>
    </w:tbl>
    <w:p>
      <w:pPr>
        <w:pStyle w:val="Normal"/>
        <w:spacing w:before="0" w:after="120"/>
        <w:rPr>
          <w:highlight w:val="none"/>
          <w:shd w:fill="auto" w:val="clear"/>
        </w:rPr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992" w:right="1134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uiPriority w:val="9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574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InternetLink">
    <w:name w:val="Internet Link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ed">
    <w:name w:val="Body Text, Indented"/>
    <w:basedOn w:val="Normal"/>
    <w:qFormat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972a29"/>
    <w:pPr>
      <w:tabs>
        <w:tab w:val="clear" w:pos="708"/>
        <w:tab w:val="left" w:pos="1120" w:leader="none"/>
        <w:tab w:val="right" w:pos="9911" w:leader="dot"/>
      </w:tabs>
      <w:ind w:left="280" w:firstLine="854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a7817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1">
    <w:name w:val="index heading1"/>
    <w:basedOn w:val="Style15"/>
    <w:qFormat/>
    <w:pPr/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Style36" w:default="1">
    <w:name w:val="Без списка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01217-8D0F-41F6-B178-67FFB025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Application>AlterOffice/2025.3.1.0$Linux_X86_64 LibreOffice_project/431cd1b79110582f53535c95ed0a2449aadc8bf9</Application>
  <AppVersion>15.0000</AppVersion>
  <Pages>5</Pages>
  <Words>603</Words>
  <Characters>3788</Characters>
  <CharactersWithSpaces>4254</CharactersWithSpaces>
  <Paragraphs>134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melnikovaod</cp:lastModifiedBy>
  <cp:lastPrinted>2026-02-12T11:12:41Z</cp:lastPrinted>
  <dcterms:modified xsi:type="dcterms:W3CDTF">2026-07-03T14:58:33Z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