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46814B0"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DD5169">
        <w:rPr>
          <w:rFonts w:ascii="Times New Roman" w:hAnsi="Times New Roman" w:cs="Times New Roman"/>
          <w:sz w:val="24"/>
          <w:szCs w:val="24"/>
        </w:rPr>
        <w:t>С Н</w:t>
      </w:r>
      <w:r w:rsidR="00A97598">
        <w:rPr>
          <w:rFonts w:ascii="Times New Roman" w:hAnsi="Times New Roman" w:cs="Times New Roman"/>
          <w:sz w:val="24"/>
          <w:szCs w:val="24"/>
        </w:rPr>
        <w:t>овосибирской области (ОПС 632473</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F539140" w:rsidR="006E6EB9" w:rsidRPr="00DD5169" w:rsidRDefault="00A97598"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sz w:val="24"/>
                <w:szCs w:val="24"/>
              </w:rPr>
              <w:t>632473</w:t>
            </w:r>
            <w:r w:rsidR="00DD5169" w:rsidRPr="00DD5169">
              <w:rPr>
                <w:rFonts w:ascii="Times New Roman" w:hAnsi="Times New Roman"/>
                <w:sz w:val="24"/>
                <w:szCs w:val="24"/>
              </w:rPr>
              <w:t xml:space="preserve">, </w:t>
            </w:r>
            <w:r w:rsidR="008B16A5">
              <w:rPr>
                <w:rFonts w:ascii="Times New Roman" w:hAnsi="Times New Roman"/>
                <w:color w:val="92D050"/>
                <w:sz w:val="28"/>
                <w:szCs w:val="28"/>
              </w:rPr>
              <w:t xml:space="preserve"> </w:t>
            </w:r>
            <w:r w:rsidR="0041386A">
              <w:rPr>
                <w:rFonts w:ascii="Times New Roman" w:hAnsi="Times New Roman"/>
                <w:color w:val="92D050"/>
                <w:sz w:val="28"/>
                <w:szCs w:val="28"/>
              </w:rPr>
              <w:t xml:space="preserve"> </w:t>
            </w:r>
            <w:r>
              <w:rPr>
                <w:rFonts w:ascii="Times New Roman" w:hAnsi="Times New Roman"/>
                <w:color w:val="92D050"/>
                <w:sz w:val="28"/>
                <w:szCs w:val="28"/>
              </w:rPr>
              <w:t xml:space="preserve"> </w:t>
            </w:r>
            <w:bookmarkStart w:id="0" w:name="_GoBack"/>
            <w:r w:rsidRPr="00A97598">
              <w:rPr>
                <w:rFonts w:ascii="Times New Roman" w:hAnsi="Times New Roman"/>
                <w:sz w:val="24"/>
                <w:szCs w:val="24"/>
              </w:rPr>
              <w:t xml:space="preserve">Российская Федерация, Новосибирская область, р-н </w:t>
            </w:r>
            <w:proofErr w:type="spellStart"/>
            <w:r w:rsidRPr="00A97598">
              <w:rPr>
                <w:rFonts w:ascii="Times New Roman" w:hAnsi="Times New Roman"/>
                <w:sz w:val="24"/>
                <w:szCs w:val="24"/>
              </w:rPr>
              <w:t>Доволенский</w:t>
            </w:r>
            <w:proofErr w:type="spellEnd"/>
            <w:r w:rsidRPr="00A97598">
              <w:rPr>
                <w:rFonts w:ascii="Times New Roman" w:hAnsi="Times New Roman"/>
                <w:sz w:val="24"/>
                <w:szCs w:val="24"/>
              </w:rPr>
              <w:t>, с Красная Грива, ул. Светлая, д. 25.</w:t>
            </w:r>
            <w:r w:rsidR="004C66A2" w:rsidRPr="00A97598">
              <w:rPr>
                <w:rFonts w:ascii="Times New Roman" w:hAnsi="Times New Roman" w:cs="Times New Roman"/>
                <w:i/>
                <w:sz w:val="24"/>
                <w:szCs w:val="24"/>
              </w:rPr>
              <w:t xml:space="preserve"> </w:t>
            </w:r>
            <w:bookmarkEnd w:id="0"/>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A97598">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4CF21E08" w:rsidR="00410AD9" w:rsidRPr="00DD516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 xml:space="preserve">лицо инициатора </w:t>
      </w:r>
      <w:r w:rsidR="00DD5169">
        <w:rPr>
          <w:rFonts w:ascii="Times New Roman" w:hAnsi="Times New Roman" w:cs="Times New Roman"/>
          <w:sz w:val="24"/>
          <w:szCs w:val="24"/>
        </w:rPr>
        <w:t>закупки: Калина Евгений Григорьевич</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64B251D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752BF"/>
    <w:rsid w:val="00290B46"/>
    <w:rsid w:val="002B65B4"/>
    <w:rsid w:val="002E7274"/>
    <w:rsid w:val="00303C4A"/>
    <w:rsid w:val="003A6A9D"/>
    <w:rsid w:val="00410AD9"/>
    <w:rsid w:val="0041386A"/>
    <w:rsid w:val="00477EC3"/>
    <w:rsid w:val="004C66A2"/>
    <w:rsid w:val="005D7DD4"/>
    <w:rsid w:val="005F22DA"/>
    <w:rsid w:val="00615479"/>
    <w:rsid w:val="00624C98"/>
    <w:rsid w:val="006556B9"/>
    <w:rsid w:val="00663347"/>
    <w:rsid w:val="00671B44"/>
    <w:rsid w:val="006A766C"/>
    <w:rsid w:val="006E6EB9"/>
    <w:rsid w:val="00832BED"/>
    <w:rsid w:val="008B16A5"/>
    <w:rsid w:val="00907D22"/>
    <w:rsid w:val="009C31AF"/>
    <w:rsid w:val="009E070B"/>
    <w:rsid w:val="00A51C72"/>
    <w:rsid w:val="00A807D3"/>
    <w:rsid w:val="00A97598"/>
    <w:rsid w:val="00AE6A4E"/>
    <w:rsid w:val="00B503D7"/>
    <w:rsid w:val="00B85CB4"/>
    <w:rsid w:val="00C12D54"/>
    <w:rsid w:val="00C155D3"/>
    <w:rsid w:val="00CC62EA"/>
    <w:rsid w:val="00DD5169"/>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2491</TotalTime>
  <Pages>2</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Калина Евгений Григорьевич</cp:lastModifiedBy>
  <cp:revision>27</cp:revision>
  <cp:lastPrinted>2023-09-11T08:33:00Z</cp:lastPrinted>
  <dcterms:created xsi:type="dcterms:W3CDTF">2019-10-01T07:50:00Z</dcterms:created>
  <dcterms:modified xsi:type="dcterms:W3CDTF">2026-07-03T08:27:00Z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