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«ОКПД 2 43.29.19.190. Строительно-монтажные работы по монтажу оборудования информационной системы  измерения уровней воды Бурейской ГЭС»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jc w:val="center"/>
        <w:rPr>
          <w:rStyle w:val="Style8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4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9932591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1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1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1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2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Существующее положение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4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325921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22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23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Иные требования и сведения общего характера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4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32592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2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выполнения работ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2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видам и объемам работ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4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325927">
            <w:r>
              <w:rPr>
                <w:webHidden/>
                <w:rStyle w:val="Style14"/>
                <w:vanish w:val="false"/>
              </w:rPr>
              <w:t>Таблица 2. Перечень и объем выполняемых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2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выполнения работ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4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325929">
            <w:r>
              <w:rPr>
                <w:webHidden/>
                <w:rStyle w:val="Style14"/>
                <w:vanish w:val="false"/>
              </w:rPr>
              <w:t>Таблица 3. Требования по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30">
            <w:r>
              <w:rPr>
                <w:webHidden/>
                <w:rStyle w:val="Style14"/>
                <w:vanish w:val="false"/>
              </w:rPr>
              <w:t>2.1.3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давальческих материалов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4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325931">
            <w:r>
              <w:rPr>
                <w:webHidden/>
                <w:rStyle w:val="Style14"/>
                <w:vanish w:val="false"/>
              </w:rPr>
              <w:t>Таблица 4. Перечень давальческих материалов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4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9932593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4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325933">
            <w:r>
              <w:rPr>
                <w:webHidden/>
                <w:rStyle w:val="Style14"/>
                <w:vanish w:val="false"/>
              </w:rPr>
              <w:t>Таблица 5.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4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32593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4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32593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_Toc199325935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Приложения</w:t>
              <w:tab/>
              <w:t>16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</w:rPr>
      </w:pPr>
      <w:bookmarkStart w:id="0" w:name="_Toc51339692"/>
      <w:bookmarkStart w:id="1" w:name="_Toc199325916"/>
      <w:bookmarkEnd w:id="0"/>
      <w:bookmarkEnd w:id="1"/>
      <w:r>
        <w:rPr/>
        <w:t>Общие сведения</w:t>
      </w:r>
    </w:p>
    <w:p>
      <w:pPr>
        <w:pStyle w:val="Heading4"/>
        <w:numPr>
          <w:ilvl w:val="1"/>
          <w:numId w:val="1"/>
        </w:numPr>
        <w:rPr/>
      </w:pPr>
      <w:bookmarkStart w:id="2" w:name="_Toc46743505"/>
      <w:bookmarkStart w:id="3" w:name="_Toc199325917"/>
      <w:bookmarkEnd w:id="2"/>
      <w:bookmarkEnd w:id="3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АСДК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Автоматизированная система диагностического контроля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АСО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Автоматизированная система опроса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Гидротехнические сооружения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white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Контрольно-измерительная аппаратура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ПНР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Пусконаладочные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ШУСД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iCs/>
                <w:sz w:val="24"/>
                <w:szCs w:val="24"/>
                <w:shd w:fill="FFFFFF" w:val="clear"/>
              </w:rPr>
              <w:t>Шкаф удаленного (устройства) сбора и передачи данных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РИП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iCs/>
                <w:sz w:val="24"/>
                <w:szCs w:val="24"/>
                <w:shd w:fill="FFFFFF" w:val="clear"/>
              </w:rPr>
              <w:t>Резервный источник питания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АВР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iCs/>
                <w:sz w:val="24"/>
                <w:szCs w:val="24"/>
                <w:shd w:fill="FFFFFF" w:val="clear"/>
              </w:rPr>
              <w:t>Автоматический ввод резерва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ПТК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Программно-технический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нб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нижний бьеф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вб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rStyle w:val="Style8"/>
                <w:bCs/>
                <w:iCs/>
                <w:sz w:val="24"/>
                <w:szCs w:val="24"/>
                <w:shd w:fill="FFFFFF" w:val="clear"/>
              </w:rPr>
              <w:t>верхний бьеф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4" w:name="_Toc46743506"/>
      <w:bookmarkStart w:id="5" w:name="_Toc199325918"/>
      <w:bookmarkEnd w:id="4"/>
      <w:bookmarkEnd w:id="5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jc w:val="both"/>
        <w:rPr/>
      </w:pPr>
      <w:r>
        <w:rPr>
          <w:rFonts w:eastAsia="Calibri"/>
          <w:sz w:val="24"/>
          <w:szCs w:val="24"/>
          <w:lang w:eastAsia="x-none"/>
        </w:rPr>
        <w:tab/>
        <w:t>«</w:t>
      </w:r>
      <w:r>
        <w:rPr>
          <w:bCs/>
          <w:sz w:val="24"/>
          <w:szCs w:val="24"/>
        </w:rPr>
        <w:t>ОКПД 2 43.29.19.190. Строительно-монтажные работы по монтажу оборудования информационной системы  измерения уровней воды Бурейской ГЭС</w:t>
      </w:r>
      <w:r>
        <w:rPr>
          <w:rFonts w:eastAsia="Calibri"/>
          <w:sz w:val="26"/>
          <w:szCs w:val="26"/>
          <w:lang w:eastAsia="x-none"/>
        </w:rPr>
        <w:t>»</w:t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6" w:name="_Toc199325919"/>
      <w:bookmarkStart w:id="7" w:name="_Toc46743507"/>
      <w:r>
        <w:rPr/>
        <w:t xml:space="preserve">Цель </w:t>
      </w:r>
      <w:bookmarkEnd w:id="7"/>
      <w:r>
        <w:rPr>
          <w:lang w:val="ru-RU"/>
        </w:rPr>
        <w:t>выполнения работ</w:t>
      </w:r>
      <w:bookmarkEnd w:id="6"/>
      <w:r>
        <w:rPr/>
        <w:t xml:space="preserve"> </w:t>
      </w:r>
    </w:p>
    <w:p>
      <w:pPr>
        <w:pStyle w:val="Normal"/>
        <w:ind w:firstLine="43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Целью данной работы является модернизация системы мониторинга гидротехнических сооружений Бурейской ГЭС путем замены контрольно-измерительной аппаратуры и системы сбора информации в составе информационной системы измерения уровней воды БурГЭС (новый объект).</w:t>
      </w:r>
    </w:p>
    <w:p>
      <w:pPr>
        <w:pStyle w:val="Normal"/>
        <w:ind w:firstLine="4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Результаты работ должны обеспечивать:</w:t>
      </w:r>
    </w:p>
    <w:p>
      <w:pPr>
        <w:pStyle w:val="ListParagraph"/>
        <w:numPr>
          <w:ilvl w:val="0"/>
          <w:numId w:val="5"/>
        </w:numPr>
        <w:shd w:val="clear" w:color="auto" w:fill="FFFFFF"/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Увеличение производительности и надежности работы ИСИУВ за счет реализации современных технических решений и применения современного промышленного оборудования, линий связи и программного обеспечения;</w:t>
      </w:r>
    </w:p>
    <w:p>
      <w:pPr>
        <w:pStyle w:val="ListParagraph"/>
        <w:numPr>
          <w:ilvl w:val="0"/>
          <w:numId w:val="5"/>
        </w:numPr>
        <w:shd w:val="clear" w:color="auto" w:fill="FFFFFF"/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Повышение качества и оперативности в оценке состояния сооружения по контролируемым показателям; </w:t>
      </w:r>
    </w:p>
    <w:p>
      <w:pPr>
        <w:pStyle w:val="ListParagraph"/>
        <w:numPr>
          <w:ilvl w:val="0"/>
          <w:numId w:val="5"/>
        </w:numPr>
        <w:shd w:val="clear" w:color="auto" w:fill="FFFFFF"/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Обеспечение автоматического информирования персонала о гидрологических параметрах сооружения;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Обеспечение большей достоверности получаемых данных за счет дооснащения контрольно-измерительной аппаратурой, оборудования водоприемных труб системой, позволяющей компенсировать негативное влияние на результаты измерений внешних факторов. Снизить влияние гидравлического давления, создаваемого при пропуске воды через водоводы и водосбросы, на результаты измерений;</w:t>
      </w:r>
    </w:p>
    <w:p>
      <w:pPr>
        <w:pStyle w:val="ListParagraph"/>
        <w:numPr>
          <w:ilvl w:val="0"/>
          <w:numId w:val="5"/>
        </w:numPr>
        <w:shd w:val="clear" w:color="auto" w:fill="FFFFFF"/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Обеспечение информационного обмена данными с АСДК ГТС ;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clear" w:pos="408"/>
          <w:tab w:val="left" w:pos="993" w:leader="none"/>
        </w:tabs>
        <w:suppressAutoHyphens w:val="false"/>
        <w:spacing w:before="0" w:after="0"/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Поддержание исправного и работоспособного состояния системы во всех режимах и на всех стадиях ее эксплуатации, организация ее эффективного использования и развития.</w:t>
      </w:r>
    </w:p>
    <w:p>
      <w:pPr>
        <w:pStyle w:val="Normal"/>
        <w:ind w:left="408" w:hanging="0"/>
        <w:jc w:val="both"/>
        <w:rPr/>
      </w:pPr>
      <w:r>
        <w:rPr/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8" w:name="_Toc199325920"/>
      <w:bookmarkStart w:id="9" w:name="_Toc46743508"/>
      <w:r>
        <w:rPr/>
        <w:t>Существующее положение</w:t>
      </w:r>
      <w:bookmarkEnd w:id="8"/>
      <w:bookmarkEnd w:id="9"/>
      <w:r>
        <w:rPr>
          <w:lang w:val="ru-RU"/>
        </w:rPr>
        <w:t xml:space="preserve"> 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bookmarkStart w:id="10" w:name="_Toc199325921"/>
      <w:bookmarkEnd w:id="10"/>
      <w:r>
        <w:rPr>
          <w:rFonts w:eastAsia="Times New Roman"/>
          <w:bCs/>
        </w:rPr>
        <w:t>Информационная система измерения уровней воды Бурейской ГЭС предназначена для измерения, расчета и регистрации контролируемых показателей на основных сооружениях Бурейской ГЭС. Контролируемые показатели – уровни воды в бьефах, температура воды в верхнем бьефе, объем водохранилища, приток и расход воды.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Оборудование системы находится в эксплуатации с 2004 года. За период эксплуатации система подвергалась незначительным изменениям, так в 2012 году датчики избыточного давления DMP-331 были заменены на датчики избыточного давления Метран-150.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 составе системы имеется три коммутационных шкафа. Первый коммутационный шкаф установлен в галерее №6 плотины, на отметке 181,00 м. секция №17, второй - установлен на отметке 131,40 м. здания ГЭС, сторона А, С9, третий – установлен в галерее №9 плотины на отметке 226,00 м. в секции №20. Внутри шкафов смонтировано идентичное оборудование: модуль сбора данных «НЕВОД+» и источник питания «AGP-24-1» (питание от сети ~220 в).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В качестве контрольно-измерительной аппаратуры полевого уровня используются датчики давления пьезометрические напорные «Метран-150». Датчики преобразуют физическую величину – напор водяного столба в аналоговый выходной сигнал 4-20 мА. Подключение к аналого-цифровому преобразователю происходит по двухпроводной схеме на основе интерфейса RS-485. Длины кабелей, соединяющих датчики в АЦП, имеют значения от 5 до 100 метров, в зависимости от расположения, и не превышают 350 метров суммарно. 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Датчики давления установлены на напорных закладных трубопроводах, расположенных в следующих местах: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Для измерения уровня воды в нижнем бьефе -  в Здании ГЭС на отм. 131,4 м., сторона А, С9, С15. Всего 3 штуки.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Для измерения уровня воды в верхнем бьефе -  в галереях плотины на отметке 181,00 м. секция №17 и отметке 226,00 м. секции № 17, 20 и 22. Всего 4 штуки.</w:t>
      </w:r>
    </w:p>
    <w:p>
      <w:pPr>
        <w:pStyle w:val="ListParagraph"/>
        <w:numPr>
          <w:ilvl w:val="0"/>
          <w:numId w:val="5"/>
        </w:numPr>
        <w:tabs>
          <w:tab w:val="clear" w:pos="408"/>
          <w:tab w:val="left" w:pos="993" w:leader="none"/>
        </w:tabs>
        <w:suppressAutoHyphens w:val="false"/>
        <w:ind w:left="0"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Трубопроводы имеют выводы в нижний бьеф в непосредственной близости от отсасывающей трубы, а в верхний бьеф на сороудерживающих решетках.</w:t>
      </w:r>
    </w:p>
    <w:p>
      <w:pPr>
        <w:pStyle w:val="Heading1"/>
        <w:tabs>
          <w:tab w:val="clear" w:pos="0"/>
        </w:tabs>
        <w:ind w:left="1276" w:hanging="556"/>
        <w:rPr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</w:t>
      </w:r>
    </w:p>
    <w:tbl>
      <w:tblPr>
        <w:tblW w:w="99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76"/>
        <w:gridCol w:w="2551"/>
        <w:gridCol w:w="2804"/>
        <w:gridCol w:w="3693"/>
      </w:tblGrid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поставки МТР, производства работ, оказания услуг)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работы, оказываются услуги)</w:t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128" w:hRule="atLeas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720"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измерения уровней воды БурГЭС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Бурейская ГЭС,</w:t>
            </w:r>
            <w:r>
              <w:rPr>
                <w:sz w:val="24"/>
                <w:szCs w:val="24"/>
              </w:rPr>
              <w:t xml:space="preserve"> 676731, Амурская область, Бурейский район, пгт. Талакан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08"/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 измерения уровней воды БурГЭС (новый объект)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240"/>
        <w:jc w:val="both"/>
        <w:rPr>
          <w:rStyle w:val="Style8"/>
          <w:bCs/>
          <w:i w:val="false"/>
          <w:i w:val="false"/>
          <w:sz w:val="24"/>
          <w:szCs w:val="24"/>
        </w:rPr>
      </w:pPr>
      <w:r>
        <w:rPr>
          <w:bCs/>
          <w:i w:val="false"/>
          <w:sz w:val="24"/>
          <w:szCs w:val="24"/>
        </w:rPr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11" w:name="_Toc46743509"/>
      <w:bookmarkStart w:id="12" w:name="_Toc199325922"/>
      <w:bookmarkStart w:id="13" w:name="_Hlk49857604"/>
      <w:r>
        <w:rPr/>
        <w:t xml:space="preserve">Информация в отношении исполнения договора, </w:t>
      </w:r>
      <w:bookmarkStart w:id="14" w:name="_Hlk46492347"/>
      <w:r>
        <w:rPr/>
        <w:t xml:space="preserve">которая должна быть учтена при подготовке заявки </w:t>
      </w:r>
      <w:bookmarkEnd w:id="14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ab/>
        <w:t>Заказчиком предоставляется (по соответствующим актам приема-передачи):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- техническую и иную документацию, содержащую исходные данные для выполнения работ (исполнительная документация, паспорта на оборудование и т.п.);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</w:rPr>
      </w:pPr>
      <w:bookmarkStart w:id="15" w:name="_Hlk48209761"/>
      <w:r>
        <w:rPr>
          <w:rFonts w:eastAsia="Calibri"/>
          <w:i/>
          <w:sz w:val="24"/>
          <w:szCs w:val="24"/>
        </w:rPr>
        <w:t>- при наличии технической возможности обеспечение коммунальными ресурсами (электроснабжение, водоснабжение и водоотведение, сжатый воздух), предоставление помещений для размещения персонала</w:t>
      </w:r>
      <w:bookmarkEnd w:id="15"/>
      <w:r>
        <w:rPr>
          <w:rFonts w:eastAsia="Calibri"/>
          <w:i/>
          <w:sz w:val="24"/>
          <w:szCs w:val="24"/>
        </w:rPr>
        <w:t>;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- давальческое оборудование, в соответствии с Таблицей 4.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p>
      <w:pPr>
        <w:pStyle w:val="Heading4"/>
        <w:numPr>
          <w:ilvl w:val="1"/>
          <w:numId w:val="1"/>
        </w:numPr>
        <w:rPr>
          <w:lang w:val="ru-RU"/>
        </w:rPr>
      </w:pPr>
      <w:bookmarkStart w:id="16" w:name="_Toc46743510"/>
      <w:bookmarkStart w:id="17" w:name="_Toc199325923"/>
      <w:r>
        <w:rPr/>
        <w:t>Иные требования и сведения общего характера</w:t>
      </w:r>
      <w:bookmarkEnd w:id="17"/>
      <w:r>
        <w:rPr>
          <w:lang w:val="ru-RU"/>
        </w:rPr>
        <w:t xml:space="preserve"> </w:t>
      </w:r>
    </w:p>
    <w:p>
      <w:pPr>
        <w:pStyle w:val="Normal"/>
        <w:widowControl w:val="false"/>
        <w:shd w:val="clear" w:color="auto" w:fill="FFFFFF"/>
        <w:tabs>
          <w:tab w:val="clear" w:pos="408"/>
          <w:tab w:val="left" w:pos="426" w:leader="none"/>
          <w:tab w:val="left" w:pos="1134" w:leader="none"/>
        </w:tabs>
        <w:spacing w:lineRule="auto" w:line="27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Заказчик: Филиал ПАО «РусГидро» - </w:t>
      </w:r>
      <w:r>
        <w:rPr>
          <w:iCs/>
          <w:sz w:val="24"/>
          <w:szCs w:val="24"/>
        </w:rPr>
        <w:t>Бурейская ГЭС,</w:t>
      </w:r>
      <w:r>
        <w:rPr>
          <w:sz w:val="24"/>
          <w:szCs w:val="24"/>
        </w:rPr>
        <w:t xml:space="preserve"> 676731, Амурская область, Бурейский район, пгт. Талакан.</w:t>
      </w:r>
    </w:p>
    <w:p>
      <w:pPr>
        <w:pStyle w:val="Normal"/>
        <w:widowControl w:val="false"/>
        <w:shd w:val="clear" w:color="auto" w:fill="FFFFFF"/>
        <w:tabs>
          <w:tab w:val="clear" w:pos="408"/>
          <w:tab w:val="left" w:pos="426" w:leader="none"/>
          <w:tab w:val="left" w:pos="1134" w:leader="none"/>
        </w:tabs>
        <w:spacing w:lineRule="auto" w:line="276"/>
        <w:ind w:firstLine="709"/>
        <w:jc w:val="both"/>
        <w:rPr>
          <w:i/>
          <w:i/>
        </w:rPr>
      </w:pPr>
      <w:r>
        <w:rPr>
          <w:sz w:val="24"/>
          <w:szCs w:val="24"/>
        </w:rPr>
        <w:t xml:space="preserve">Подрядчик: АО «ВНИИГ им. Б.Е. Веденеева», 195220, г. Санкт-Петербург, </w:t>
        <w:br/>
        <w:t>ул. Гжатская, д.21.</w:t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  <w:lang w:val="ru-RU"/>
        </w:rPr>
      </w:pPr>
      <w:bookmarkStart w:id="18" w:name="_Toc199325924"/>
      <w:bookmarkStart w:id="19" w:name="_Toc51339693"/>
      <w:bookmarkEnd w:id="18"/>
      <w:bookmarkEnd w:id="19"/>
      <w:r>
        <w:rPr/>
        <w:t>Требования к продукции</w:t>
      </w:r>
    </w:p>
    <w:p>
      <w:pPr>
        <w:pStyle w:val="Heading4"/>
        <w:numPr>
          <w:ilvl w:val="1"/>
          <w:numId w:val="1"/>
        </w:numPr>
        <w:rPr/>
      </w:pPr>
      <w:bookmarkStart w:id="20" w:name="_Toc199325925"/>
      <w:r>
        <w:rPr/>
        <w:t xml:space="preserve">Требования к объемам и срокам </w:t>
      </w:r>
      <w:bookmarkEnd w:id="20"/>
      <w:r>
        <w:rPr>
          <w:lang w:val="ru-RU"/>
        </w:rPr>
        <w:t>выполнения работ</w:t>
      </w:r>
    </w:p>
    <w:p>
      <w:pPr>
        <w:pStyle w:val="Heading3"/>
        <w:numPr>
          <w:ilvl w:val="2"/>
          <w:numId w:val="1"/>
        </w:numPr>
        <w:ind w:left="1276" w:hanging="556"/>
        <w:rPr/>
      </w:pPr>
      <w:bookmarkStart w:id="21" w:name="_Toc199325926"/>
      <w:bookmarkEnd w:id="21"/>
      <w:r>
        <w:rPr/>
        <w:t>Требования к видам и объемам работ</w:t>
      </w:r>
    </w:p>
    <w:p>
      <w:pPr>
        <w:pStyle w:val="Heading1"/>
        <w:tabs>
          <w:tab w:val="clear" w:pos="0"/>
        </w:tabs>
        <w:ind w:left="1276" w:hanging="556"/>
        <w:rPr>
          <w:lang w:val="ru-RU"/>
        </w:rPr>
      </w:pPr>
      <w:bookmarkStart w:id="22" w:name="_Toc199325927"/>
      <w:bookmarkStart w:id="23" w:name="_Toc51339695"/>
      <w:r>
        <w:rPr>
          <w:sz w:val="24"/>
          <w:szCs w:val="24"/>
        </w:rPr>
        <w:t xml:space="preserve">Таблица 2. Перечень </w:t>
      </w:r>
      <w:bookmarkEnd w:id="22"/>
      <w:bookmarkEnd w:id="23"/>
      <w:r>
        <w:rPr>
          <w:sz w:val="24"/>
          <w:szCs w:val="24"/>
        </w:rPr>
        <w:t>и объем выполняемых работ</w:t>
      </w:r>
    </w:p>
    <w:tbl>
      <w:tblPr>
        <w:tblW w:w="9810" w:type="dxa"/>
        <w:jc w:val="left"/>
        <w:tblInd w:w="191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2"/>
        <w:gridCol w:w="2119"/>
      </w:tblGrid>
      <w:tr>
        <w:trPr/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радиоволнового датчика уровня в вб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  <w:t>2</w:t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клеммных коробок для датчиков вб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погружного датчика уровня в нб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клеммных коробок для датчиков нб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от существующих датчиков вб до ШУСД-1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от существующих датчиков вб до ШУСД-2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от существующих датчиков нб до ШУСД-3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от существующих датчиков вб до ШУСД-4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от новых датчиков нб до ШУСД-5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от рип-0 до шкафа ПТК УСООД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оптического кабеля от ШУСД-1 до РИП-0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оптического кабеля от ШУСД-2 до РИП-0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оптического кабеля от ШУСД-3 до шкафа коммутации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оптического кабеля от ШУСД-4 до РИП-0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оптического кабеля от ШУСД-5 до шкафа коммутации и от РИП-0 до ШКО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Заземление шкафов ШУСД и АВР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электропитания от ШУСД-1 до ШЭ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электропитания от ШУСД-2 до АВР-3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электропитания от ШУСД-3 до АВР-1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электропитания от ШУСД-4 до АВР-3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электропитания от ШУСД-5 до АВР-2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электропитания АВР-1 до шкафов питания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электропитания АВР-2 до шкафов питания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Прокладка кабеля электропитания АВР-3 до шкафов питания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новых шкафов ШУСД и шкафов электропитания АВР на стену (ДКРЕ.421459.029.А)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Добавляемые материалы и приборы в существующие шкафы (ДКРЕ.421459.029.А)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>
        <w:trPr>
          <w:trHeight w:val="322" w:hRule="atLeast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4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Демонтаж существующего оборудования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усл. ед.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3"/>
        <w:numPr>
          <w:ilvl w:val="2"/>
          <w:numId w:val="1"/>
        </w:numPr>
        <w:ind w:left="1276" w:hanging="556"/>
        <w:rPr>
          <w:rFonts w:eastAsia="Times New Roman"/>
          <w:b w:val="false"/>
          <w:bCs/>
          <w:lang w:val="ru-RU" w:eastAsia="ru-RU"/>
        </w:rPr>
      </w:pPr>
      <w:bookmarkStart w:id="24" w:name="_Toc51339696"/>
      <w:bookmarkStart w:id="25" w:name="_Toc199325928"/>
      <w:r>
        <w:rPr>
          <w:rFonts w:eastAsia="Times New Roman"/>
          <w:b w:val="false"/>
          <w:bCs/>
          <w:lang w:val="ru-RU" w:eastAsia="ru-RU"/>
        </w:rPr>
        <w:t xml:space="preserve">Требования </w:t>
      </w:r>
      <w:bookmarkEnd w:id="24"/>
      <w:bookmarkEnd w:id="25"/>
      <w:r>
        <w:rPr>
          <w:rFonts w:eastAsia="Times New Roman"/>
          <w:b w:val="false"/>
          <w:bCs/>
          <w:lang w:val="ru-RU" w:eastAsia="ru-RU"/>
        </w:rPr>
        <w:t>к срокам выполнения работ</w:t>
      </w:r>
    </w:p>
    <w:p>
      <w:pPr>
        <w:pStyle w:val="Heading1"/>
        <w:tabs>
          <w:tab w:val="clear" w:pos="0"/>
        </w:tabs>
        <w:ind w:left="1276" w:hanging="556"/>
        <w:rPr>
          <w:rFonts w:eastAsia="Times New Roman"/>
          <w:b w:val="false"/>
          <w:bCs/>
          <w:sz w:val="24"/>
          <w:szCs w:val="24"/>
          <w:lang w:val="ru-RU" w:eastAsia="ru-RU"/>
        </w:rPr>
      </w:pPr>
      <w:bookmarkStart w:id="26" w:name="_Toc51339697"/>
      <w:bookmarkStart w:id="27" w:name="_Toc50125127"/>
      <w:bookmarkStart w:id="28" w:name="_Toc199325929"/>
      <w:bookmarkStart w:id="29" w:name="_Toc50125126"/>
      <w:bookmarkEnd w:id="29"/>
      <w:r>
        <w:rPr>
          <w:rFonts w:eastAsia="Times New Roman"/>
          <w:b w:val="false"/>
          <w:bCs/>
          <w:sz w:val="24"/>
          <w:szCs w:val="24"/>
          <w:lang w:val="ru-RU" w:eastAsia="ru-RU"/>
        </w:rPr>
        <w:t xml:space="preserve">Таблица 3. </w:t>
      </w:r>
      <w:bookmarkStart w:id="30" w:name="_Hlk50465284"/>
      <w:r>
        <w:rPr>
          <w:rFonts w:eastAsia="Times New Roman"/>
          <w:b w:val="false"/>
          <w:bCs/>
          <w:sz w:val="24"/>
          <w:szCs w:val="24"/>
          <w:lang w:val="ru-RU" w:eastAsia="ru-RU"/>
        </w:rPr>
        <w:t xml:space="preserve">Требования по срокам </w:t>
      </w:r>
      <w:bookmarkStart w:id="31" w:name="_Toc50125131"/>
      <w:bookmarkEnd w:id="16"/>
      <w:bookmarkEnd w:id="26"/>
      <w:bookmarkEnd w:id="27"/>
      <w:bookmarkEnd w:id="28"/>
      <w:bookmarkEnd w:id="30"/>
      <w:r>
        <w:rPr>
          <w:rFonts w:eastAsia="Times New Roman"/>
          <w:b w:val="false"/>
          <w:bCs/>
          <w:sz w:val="24"/>
          <w:szCs w:val="24"/>
          <w:lang w:val="ru-RU" w:eastAsia="ru-RU"/>
        </w:rPr>
        <w:t>выполнения работ</w:t>
      </w:r>
    </w:p>
    <w:tbl>
      <w:tblPr>
        <w:tblW w:w="9776" w:type="dxa"/>
        <w:jc w:val="left"/>
        <w:tblInd w:w="83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9"/>
        <w:gridCol w:w="2979"/>
        <w:gridCol w:w="3115"/>
      </w:tblGrid>
      <w:tr>
        <w:trPr/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окончанию срока выполнения работ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Строительно-монтажные и демонтажные работы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проектом Договора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проектом Договора</w:t>
            </w:r>
          </w:p>
        </w:tc>
      </w:tr>
    </w:tbl>
    <w:p>
      <w:pPr>
        <w:pStyle w:val="Heading3"/>
        <w:numPr>
          <w:ilvl w:val="2"/>
          <w:numId w:val="4"/>
        </w:numPr>
        <w:rPr>
          <w:rFonts w:eastAsia="Times New Roman"/>
          <w:b w:val="false"/>
          <w:bCs/>
          <w:lang w:val="ru-RU" w:eastAsia="ru-RU"/>
        </w:rPr>
      </w:pPr>
      <w:bookmarkStart w:id="32" w:name="_Toc199325930"/>
      <w:bookmarkEnd w:id="32"/>
      <w:r>
        <w:rPr>
          <w:rFonts w:eastAsia="Times New Roman"/>
          <w:b w:val="false"/>
          <w:bCs/>
          <w:lang w:val="ru-RU" w:eastAsia="ru-RU"/>
        </w:rPr>
        <w:t>Перечень давальческого оборудования</w:t>
      </w:r>
    </w:p>
    <w:p>
      <w:pPr>
        <w:pStyle w:val="Heading1"/>
        <w:tabs>
          <w:tab w:val="clear" w:pos="0"/>
        </w:tabs>
        <w:ind w:left="1276" w:hanging="556"/>
        <w:rPr>
          <w:rFonts w:eastAsia="Times New Roman"/>
          <w:b w:val="false"/>
          <w:bCs/>
          <w:sz w:val="24"/>
          <w:szCs w:val="24"/>
          <w:lang w:val="ru-RU" w:eastAsia="ru-RU"/>
        </w:rPr>
      </w:pPr>
      <w:bookmarkStart w:id="33" w:name="_Toc199325931"/>
      <w:r>
        <w:rPr>
          <w:rFonts w:eastAsia="Times New Roman"/>
          <w:b w:val="false"/>
          <w:bCs/>
          <w:sz w:val="24"/>
          <w:szCs w:val="24"/>
          <w:lang w:val="ru-RU" w:eastAsia="ru-RU"/>
        </w:rPr>
        <w:t xml:space="preserve">Таблица 4. </w:t>
      </w:r>
      <w:bookmarkEnd w:id="33"/>
      <w:r>
        <w:rPr>
          <w:rFonts w:eastAsia="Times New Roman"/>
          <w:b w:val="false"/>
          <w:bCs/>
          <w:sz w:val="24"/>
          <w:szCs w:val="24"/>
          <w:lang w:val="ru-RU" w:eastAsia="ru-RU"/>
        </w:rPr>
        <w:t>Перечень давальческого оборудования</w:t>
      </w:r>
    </w:p>
    <w:tbl>
      <w:tblPr>
        <w:tblW w:w="9791" w:type="dxa"/>
        <w:jc w:val="left"/>
        <w:tblInd w:w="83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8"/>
        <w:gridCol w:w="5685"/>
        <w:gridCol w:w="1416"/>
        <w:gridCol w:w="1561"/>
      </w:tblGrid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Погружной датчик давления ALZ 3821-W-1601-A-M-F-00-ГП // U-035M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Уровнемер радиоволновой СЕНС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УР2-2D18-УКМ20-4/20мА-Modbus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АВР-1/2/3 (400х400х200)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ШУСД-1 (500х400х300 мм)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ШУСД-2 (500х400х300 мм)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ШУСД-3 (500х400х300 мм)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ШУСД-4 (900х620х330 мм)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ШУСД-5  (900х620х330 мм)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ВА-101 1P 6А C 4.5кА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ВА-101 1P 10А C 4.5кА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ВА-101 1P 16А C 4.5кА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ВА-101 1P 25А C 4.5кА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ВА-101 1P 4А C 4.5кА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Информационная розетка RJ-45 на DIN-рейку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Кросс оптический на 12 портов SM SC для</w:t>
              <w:br/>
              <w:t>монтажа в 19" стойку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Коробка распределительная IP66150х150х150 мм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Корпус УЗ металлический, герметичный IP65</w:t>
              <w:br/>
              <w:t>145х135х55 мм в составе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17.1</w:t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Модуль грозозащиты бескорпусной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Оптический кросс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Промышленный L3 управляемый коммутатор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Сервер сбора данных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</w:r>
          </w:p>
        </w:tc>
        <w:tc>
          <w:tcPr>
            <w:tcW w:w="5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Трансивер оптический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34" w:name="_Toc51339698"/>
      <w:bookmarkStart w:id="35" w:name="_Toc199325932"/>
      <w:r>
        <w:rPr/>
        <w:t xml:space="preserve">Требования к </w:t>
      </w:r>
      <w:bookmarkEnd w:id="35"/>
      <w:r>
        <w:rPr>
          <w:lang w:val="ru-RU"/>
        </w:rPr>
        <w:t>качеству продукции</w:t>
      </w:r>
    </w:p>
    <w:p>
      <w:pPr>
        <w:pStyle w:val="Heading1"/>
        <w:tabs>
          <w:tab w:val="clear" w:pos="0"/>
        </w:tabs>
        <w:ind w:left="1276" w:hanging="556"/>
        <w:rPr>
          <w:rStyle w:val="Style8"/>
          <w:i w:val="false"/>
          <w:i w:val="false"/>
          <w:sz w:val="24"/>
          <w:szCs w:val="24"/>
          <w:highlight w:val="white"/>
        </w:rPr>
      </w:pPr>
      <w:bookmarkStart w:id="36" w:name="_Toc19932593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. Требования к </w:t>
      </w:r>
      <w:bookmarkEnd w:id="31"/>
      <w:bookmarkEnd w:id="34"/>
      <w:bookmarkEnd w:id="36"/>
      <w:r>
        <w:rPr>
          <w:sz w:val="24"/>
          <w:szCs w:val="24"/>
          <w:lang w:val="ru-RU"/>
        </w:rPr>
        <w:t>качеству продукции</w:t>
      </w:r>
    </w:p>
    <w:p>
      <w:pPr>
        <w:pStyle w:val="Normal"/>
        <w:snapToGrid w:val="false"/>
        <w:spacing w:before="0" w:after="120"/>
        <w:rPr/>
      </w:pPr>
      <w:r>
        <w:rPr>
          <w:b/>
          <w:bCs/>
          <w:sz w:val="24"/>
          <w:szCs w:val="24"/>
        </w:rPr>
        <w:t>Наименование работ/этапа работ (</w:t>
      </w:r>
      <w:r>
        <w:rPr>
          <w:b/>
          <w:sz w:val="24"/>
          <w:szCs w:val="24"/>
        </w:rPr>
        <w:t>позиция № 1-27</w:t>
      </w:r>
      <w:r>
        <w:rPr>
          <w:b/>
          <w:i/>
        </w:rPr>
        <w:t xml:space="preserve"> </w:t>
      </w:r>
      <w:r>
        <w:rPr>
          <w:b/>
          <w:sz w:val="24"/>
          <w:szCs w:val="24"/>
        </w:rPr>
        <w:t>Таблицы</w:t>
      </w:r>
      <w:r>
        <w:rPr>
          <w:b/>
          <w:bCs/>
          <w:sz w:val="24"/>
          <w:szCs w:val="24"/>
        </w:rPr>
        <w:t xml:space="preserve"> 2): Строительно-монтажные и демонтажные работы</w:t>
      </w:r>
    </w:p>
    <w:tbl>
      <w:tblPr>
        <w:tblStyle w:val="affff5"/>
        <w:tblW w:w="15442" w:type="dxa"/>
        <w:jc w:val="left"/>
        <w:tblInd w:w="78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5"/>
        <w:gridCol w:w="2007"/>
        <w:gridCol w:w="8600"/>
      </w:tblGrid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Подрядчика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Работы выполнять в соответствии с:</w:t>
              <w:br/>
              <w:t>1. Утвержденной проектной, рабочей и сметной документациями;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ведомостью объемов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2.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Правила по охране труда при размещении, монтаже, техническом обслуживании и ремонте технологического оборудования утв. приказом Министерства труда и </w:t>
            </w: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социальной защиты РФ </w:t>
            </w:r>
            <w:hyperlink r:id="rId4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от 27.11.2020 г. № 833н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3. Правила по охране труда при погрузочно-разгрузочных работах и размещении грузов утв. приказом Министерства труда и социальной защиты РФ </w:t>
            </w:r>
            <w:hyperlink r:id="rId5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от 28.10.2020 г. № 753н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4. Правила по охране труда при работе с инструментом и приспособлениями утв. приказом Министерства труда и социальной защиты РФ </w:t>
            </w:r>
            <w:hyperlink r:id="rId6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от 27.11.2020 г. № 835н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5. Правила по охране труда при эксплуатации электроустановок утв. приказом Министерства труда и социальной защиты РФ </w:t>
            </w:r>
            <w:hyperlink r:id="rId7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от 15.12.2020 г. № 903н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6. Правила по охране труда при работе на высоте утв. приказом Министерства труда и социальной защиты РФ </w:t>
            </w:r>
            <w:hyperlink r:id="rId8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от 16.11.2020 г. № 782н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7. Правила по охране труда при выполнении электросварочных и газосварочных работ утв. приказом Министерства труда и социальной защиты РФ </w:t>
            </w:r>
            <w:hyperlink r:id="rId9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от 11.12.2020 г. № 884н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8. Правила противопожарного режима в РФ утв. постановлением Правительства РФ от </w:t>
            </w:r>
            <w:hyperlink r:id="rId10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16.09.2020 № 1479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9. </w:t>
            </w:r>
            <w:hyperlink r:id="rId11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4"/>
                  <w:lang w:val="ru-RU" w:eastAsia="ru-RU" w:bidi="ar-SA"/>
                </w:rPr>
                <w:t>СНиП 12-03-2001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hyperlink r:id="rId12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4"/>
                  <w:lang w:val="ru-RU" w:eastAsia="ru-RU" w:bidi="ar-SA"/>
                </w:rPr>
                <w:t>СНиП 12-04-2002</w:t>
              </w:r>
            </w:hyperlink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 «Безопасность труда в строительстве» ч.1,2.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10. </w:t>
            </w:r>
            <w:hyperlink r:id="rId13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РД 34.20.401-83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 «Правила приемки в эксплуатацию энергообъектов электростанций, электрических и тепловых сетей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- </w:t>
            </w:r>
            <w:hyperlink r:id="rId14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4"/>
                  <w:lang w:val="ru-RU" w:eastAsia="ru-RU" w:bidi="ar-SA"/>
                </w:rPr>
                <w:t>СТО 17330282.27.140.004-2008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 «Контрольно-измерительные системы и аппаратура гидротехнических сооружений ГЭС. Условия создания. Нормы и требования». после технического перевооружения»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- </w:t>
            </w:r>
            <w:hyperlink r:id="rId15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0"/>
                  <w:lang w:val="ru-RU" w:eastAsia="en-US" w:bidi="ar-SA"/>
                </w:rPr>
                <w:t>И1.13-07</w:t>
              </w:r>
            </w:hyperlink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en-US" w:bidi="ar-SA"/>
              </w:rPr>
              <w:t>. «Инструкция по оформлению приемосдаточной документации по электромонтажным работам»;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en-US" w:bidi="ar-SA"/>
              </w:rPr>
              <w:t>- СТО РусГидро 01.02.115-2017 «Гидроэлектростанции. Приемка и ввод в эксплуатацию. Часть II. Особенности приемки и ввода в эксплуатацию оборудования и производственных систем»;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en-US" w:bidi="ar-SA"/>
              </w:rPr>
              <w:t xml:space="preserve">- </w:t>
            </w:r>
            <w:hyperlink r:id="rId16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4"/>
                  <w:lang w:val="ru-RU" w:eastAsia="ru-RU" w:bidi="ar-SA"/>
                </w:rPr>
                <w:t>СНиП 3.03.01-8</w:t>
              </w:r>
              <w:r>
                <w:rPr>
                  <w:rStyle w:val="1"/>
                  <w:rFonts w:eastAsia="Times New Roman" w:cs="Times New Roman"/>
                  <w:kern w:val="0"/>
                  <w:sz w:val="22"/>
                  <w:szCs w:val="22"/>
                  <w:lang w:val="ru-RU" w:eastAsia="ru-RU" w:bidi="ar-SA"/>
                </w:rPr>
                <w:t>7</w:t>
              </w:r>
            </w:hyperlink>
            <w:r>
              <w:rPr>
                <w:rFonts w:eastAsia="Times New Roman" w:cs="Times New Roman"/>
                <w:kern w:val="0"/>
                <w:sz w:val="24"/>
                <w:szCs w:val="20"/>
                <w:lang w:val="ru-RU" w:eastAsia="en-US" w:bidi="ar-SA"/>
              </w:rPr>
              <w:t xml:space="preserve"> «Приемка в эксплуатацию законченных строительством объектов. Основные положения».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Организационно-технические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79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Допуск к строительно-монтажным и пусконаладочным работам разрешается только при наличии согласованного с Заказчиком и Подрядчиком проекта производства работ (далее ППР);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79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Не менее чем за 10 календарных дней до начала работ разработать и представить Заказчику для согласования ППР.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79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Разработка и согласование проекта производства работ (ППР). ППР на выполнение работ должен включать: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62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Календарный план производства работ по виду работ (устанавливается последовательность выполнения работ, а также указание производства совмещенных работ).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79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Персонал Подрядчика  допускается к производству работ в соответствии с регламентом процесса допуска персонала подрядных организаций на объекты ПАО «РусГидро» утвержденного Приказом ПАО «РусГидро» от 04.02.2022 № 82;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79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Организация и проведение совместных технических совещаний  по вопросам осуществления контроля и технического надзора за ходом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79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Обеспечение персонала Участника бытовыми помещениями (установка передвижных временных зданий или оформление аренды помещений заказчика при наличии такой возможности), определение мест для складирования материала и инструмента;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79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Инженерная подготовка и оборудование рабочей площадки (устройство сетей энергоснабжения, вентиляции, защита имущества Заказчика и Подрядчика от строительной пыли и т.п.), монтаж ограждений, переходов, лестниц и т.д.;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79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- Наличие у Участника службы по охране труда и технике безопасности;</w:t>
            </w:r>
          </w:p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-Подготовка объекта к сдаче-приемке: демонтаж временных сетей, бытовых и подсобных помещений, разборка ограждений, вывоз с территории оборудования, инструмента, строительного мусора, уборка объекта.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Давальческое оборудование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Для выполнения работ, Подрядчиком предоставляются давальческие материалы в соответствии с Таблицей 4. Передача давальческого оборудования и отчет об их использовании производятся в соответствии с Проектом Договора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Материалы, приобретаемые Участником самостоятельно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Материалы, не являющиеся давальческими и необходимые для производства работ в соответствии с Рабочей Документацией, приобретаются Участником самостоятельно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материалов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Материалы, применяемые при выполнении работ, должны быть новыми, не использованными ранее, а также учитывать последние достижения в технической области.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 входного контроля  материалов на месте поставки: внешний осмотр, проверку комплектации, проверку качества сборки и отсутствие внешних повреждений, наличие необходимых документов.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Все используемые Участником материалы и оборудование должны иметь соответствующие сертификаты (сертификат соответствия и безопасности (ГОСТ Р или Сертификат соответствия требованиям технического регламента, или Декларация соответствия, Пожарный сертификат и декларация), гигиенические сертификаты), сертификаты качества, документы о качестве, технические паспорта и другие документы, удостоверяющие их качество, зарегистрированные в установленном порядке. Заверенные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Участником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копии этих документов должны быть предоставлены Заказчику до начала производства работ, выполняемых с использованием этих материалов и оборудования.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Показатели качества используемых материалов, изделий, конструкций и оборудования, качество законченных работ должны полностью соответствовать требованиям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действующих нормативных документов.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Строительный контроль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Осуществление строительного контроля в соответствии с Постановлением Правительства РФ № 468 от 21.06.2010 г. с ведением журналов работ и оформлением актов согласно </w:t>
            </w:r>
            <w:hyperlink r:id="rId17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РД-11-02-2006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 xml:space="preserve"> и </w:t>
            </w:r>
            <w:hyperlink r:id="rId18">
              <w:r>
                <w:rPr>
                  <w:rStyle w:val="1"/>
                  <w:rFonts w:eastAsia="Times New Roman" w:cs="Times New Roman"/>
                  <w:vanish/>
                  <w:kern w:val="0"/>
                  <w:sz w:val="24"/>
                  <w:szCs w:val="22"/>
                  <w:lang w:val="ru-RU" w:eastAsia="en-US" w:bidi="ar-SA"/>
                </w:rPr>
                <w:t>РД-11-05-2007</w:t>
              </w:r>
            </w:hyperlink>
            <w:r>
              <w:rPr>
                <w:rFonts w:eastAsia="Times New Roman" w:cs="Times New Roman"/>
                <w:kern w:val="0"/>
                <w:sz w:val="24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Участника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Список квалифицированного персонала – непосредственных исполнителей - не менее 2-х человек с группой не ниже 4 по электробезопасности до 1000В (административно-технический с правом оперативно-ремонтного); не менее 2-х человек с группой промышленной безопасности А1, списка административно-технического персонала с указанием образования и групп по безопасности.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обязан: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направлять на объект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выполненных строительно-монтажных работ требованиям Рабочей Документации, настоящим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Устранение замечаний Заказчика и Подрядчика.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7" w:hanging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 к результатам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0" w:leader="none"/>
                <w:tab w:val="left" w:pos="459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Конечным результатом работ, является наличие готовых к эксплуатации скважин,  смонтированного оборудования и проложенных кабельных трасс.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highlight w:val="white"/>
                <w:lang w:val="ru-RU" w:eastAsia="ru-RU" w:bidi="ar-SA"/>
              </w:rPr>
              <w:t>Требования к оформлению исполнительной документации</w:t>
            </w:r>
          </w:p>
        </w:tc>
        <w:tc>
          <w:tcPr>
            <w:tcW w:w="8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процессе выполнения этапов работ, и по окончании всего объема строительно-монтажных работ Участник закупки должен предоставить исполнительную документацию на выполненный комплекс строительно-монтажных работ в соответствии с действующими на территории РФ нормативно-правовыми актами (общий журнал работ, журнал буровых работ, паспорта на пьезометры, журнал входного контроля, сертификаты, акты скрытых работ и т.п.).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highlight w:val="white"/>
                <w:lang w:val="ru-RU" w:eastAsia="ru-RU" w:bidi="ar-SA"/>
              </w:rPr>
              <w:t>Исполнительная документация должна обеспечивать достоверность и полноту сведений о фактически выполненных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Участник</w:t>
            </w:r>
            <w:r>
              <w:rPr>
                <w:rFonts w:eastAsia="Calibri" w:cs="Times New Roman" w:eastAsiaTheme="minorHAnsi"/>
                <w:kern w:val="0"/>
                <w:sz w:val="24"/>
                <w:szCs w:val="24"/>
                <w:highlight w:val="white"/>
                <w:lang w:val="ru-RU" w:eastAsia="en-US" w:bidi="ar-SA"/>
              </w:rPr>
              <w:t xml:space="preserve"> обязан вести Журналы производства и учета общих и специальных работ (форма журналов должна соответствовать требованиям </w:t>
            </w:r>
            <w:hyperlink r:id="rId19">
              <w:r>
                <w:rPr>
                  <w:rStyle w:val="1"/>
                  <w:rFonts w:eastAsia="Calibri" w:cs="Times New Roman" w:eastAsiaTheme="minorHAnsi"/>
                  <w:vanish/>
                  <w:kern w:val="0"/>
                  <w:sz w:val="24"/>
                  <w:szCs w:val="24"/>
                  <w:highlight w:val="white"/>
                  <w:lang w:val="ru-RU" w:eastAsia="en-US" w:bidi="ar-SA"/>
                </w:rPr>
                <w:t>РД-11-05-2007</w:t>
              </w:r>
            </w:hyperlink>
            <w:r>
              <w:rPr>
                <w:rFonts w:eastAsia="Calibri" w:cs="Times New Roman" w:eastAsiaTheme="minorHAnsi"/>
                <w:kern w:val="0"/>
                <w:sz w:val="24"/>
                <w:szCs w:val="24"/>
                <w:highlight w:val="white"/>
                <w:lang w:val="ru-RU" w:eastAsia="en-US" w:bidi="ar-SA"/>
              </w:rPr>
              <w:t xml:space="preserve"> приказ Ростехнадзора от 12.01. 2007 г. № 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строительства») и исполнительную документацию в соответствии с требованиями  </w:t>
            </w:r>
            <w:hyperlink r:id="rId20">
              <w:r>
                <w:rPr>
                  <w:rStyle w:val="1"/>
                  <w:rFonts w:eastAsia="Calibri" w:cs="Times New Roman" w:eastAsiaTheme="minorHAnsi"/>
                  <w:vanish/>
                  <w:kern w:val="0"/>
                  <w:sz w:val="24"/>
                  <w:szCs w:val="24"/>
                  <w:highlight w:val="white"/>
                  <w:lang w:val="ru-RU" w:eastAsia="en-US" w:bidi="ar-SA"/>
                </w:rPr>
                <w:t>СП 48.13330.2019</w:t>
              </w:r>
            </w:hyperlink>
            <w:r>
              <w:rPr>
                <w:rFonts w:eastAsia="Calibri" w:cs="Times New Roman" w:eastAsiaTheme="minorHAnsi"/>
                <w:kern w:val="0"/>
                <w:sz w:val="24"/>
                <w:szCs w:val="24"/>
                <w:highlight w:val="white"/>
                <w:lang w:val="ru-RU" w:eastAsia="en-US" w:bidi="ar-SA"/>
              </w:rPr>
              <w:t>.    Исполнительная документация на выполненные работы, а также инструкции по эксплуатации Системы в полном объёме передаются Заказчику после окончания выполнения всех Работ на электронных и бумажных носителях.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highlight w:val="white"/>
                <w:lang w:val="ru-RU" w:eastAsia="ru-RU" w:bidi="ar-SA"/>
              </w:rPr>
              <w:t>Предоставляется исполнительная документация в электронном виде и 4-х экземпляров на бумажном носителе.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Процесс согласования исполнительной документации должен производиться в соответствии с Распоряжением ПАО «РусГидро» №358р от 14.08.2023.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6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 на результаты работ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выполненных Работ должен составлять не менее 36 (Тридцати шести) месяцев и начинает течь с даты подписания Акта КС-11 Заказчиком и Подрядчиком по Генеральному договору.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обладать опытом выполнения аналогичных работ не менее 1 года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06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</w:tr>
      <w:tr>
        <w:trPr/>
        <w:tc>
          <w:tcPr>
            <w:tcW w:w="85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0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Прочие требования</w:t>
            </w:r>
          </w:p>
        </w:tc>
        <w:tc>
          <w:tcPr>
            <w:tcW w:w="86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Производство строительно-монтажных работ на объекте не должно затруднять или препятствовать эксплуатации ГТС</w:t>
            </w:r>
          </w:p>
        </w:tc>
      </w:tr>
    </w:tbl>
    <w:p>
      <w:pPr>
        <w:sectPr>
          <w:headerReference w:type="default" r:id="rId21"/>
          <w:headerReference w:type="first" r:id="rId22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1"/>
        </w:numPr>
        <w:ind w:lef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lang w:val="ru-RU"/>
        </w:rPr>
      </w:pPr>
      <w:r>
        <w:rPr/>
        <w:t>Приложения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Приложение № 1: Рабочая документация </w:t>
      </w:r>
      <w:r>
        <w:rPr>
          <w:bCs/>
          <w:sz w:val="24"/>
          <w:szCs w:val="24"/>
        </w:rPr>
        <w:t>ДКРЕ.421459.029.А</w:t>
      </w:r>
      <w:r>
        <w:rPr>
          <w:sz w:val="24"/>
          <w:szCs w:val="24"/>
        </w:rPr>
        <w:t>;</w:t>
      </w:r>
    </w:p>
    <w:p>
      <w:pPr>
        <w:pStyle w:val="Normal"/>
        <w:rPr/>
      </w:pPr>
      <w:r>
        <w:rPr>
          <w:sz w:val="24"/>
          <w:szCs w:val="24"/>
        </w:rPr>
        <w:t>Приложение № 2: Ведомость работ;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120"/>
        <w:jc w:val="both"/>
        <w:rPr/>
      </w:pPr>
      <w:r>
        <w:rPr/>
      </w:r>
      <w:bookmarkStart w:id="37" w:name="_GoBack"/>
      <w:bookmarkStart w:id="38" w:name="_GoBack"/>
      <w:bookmarkEnd w:id="38"/>
    </w:p>
    <w:sectPr>
      <w:headerReference w:type="default" r:id="rId23"/>
      <w:headerReference w:type="first" r:id="rId2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  <w:rPr/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5"/>
  <w:defaultTabStop w:val="4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"/>
    <w:qFormat/>
    <w:rsid w:val="00353a27"/>
    <w:pPr>
      <w:ind w:left="5038" w:hanging="360"/>
      <w:outlineLvl w:val="0"/>
    </w:pPr>
    <w:rPr>
      <w:sz w:val="28"/>
      <w:szCs w:val="28"/>
    </w:rPr>
  </w:style>
  <w:style w:type="paragraph" w:styleId="Heading2">
    <w:name w:val="Heading 2"/>
    <w:basedOn w:val="Heading4"/>
    <w:link w:val="2"/>
    <w:qFormat/>
    <w:rsid w:val="00ea61a8"/>
    <w:pPr>
      <w:numPr>
        <w:ilvl w:val="0"/>
      </w:numPr>
      <w:ind w:left="1276" w:hanging="556"/>
      <w:outlineLvl w:val="1"/>
    </w:pPr>
    <w:rPr/>
  </w:style>
  <w:style w:type="paragraph" w:styleId="Heading3">
    <w:name w:val="Heading 3"/>
    <w:basedOn w:val="Normal"/>
    <w:link w:val="3"/>
    <w:qFormat/>
    <w:rsid w:val="00b476b3"/>
    <w:pPr>
      <w:keepNext w:val="true"/>
      <w:tabs>
        <w:tab w:val="clear" w:pos="408"/>
        <w:tab w:val="left" w:pos="0" w:leader="none"/>
      </w:tabs>
      <w:spacing w:before="240" w:after="60"/>
      <w:ind w:left="1276" w:hanging="55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rsid w:val="006629c9"/>
    <w:pPr>
      <w:numPr>
        <w:ilvl w:val="1"/>
      </w:numPr>
      <w:ind w:left="1276" w:hanging="556"/>
      <w:outlineLvl w:val="3"/>
    </w:pPr>
    <w:rPr>
      <w:bCs/>
    </w:rPr>
  </w:style>
  <w:style w:type="paragraph" w:styleId="Heading5">
    <w:name w:val="Heading 5"/>
    <w:basedOn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color w:val="00000A"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476b3"/>
    <w:rPr>
      <w:rFonts w:eastAsia="Calibri"/>
      <w:b/>
      <w:color w:val="00000A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3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link w:val="3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14"/>
    <w:qFormat/>
    <w:pPr/>
    <w:rPr/>
  </w:style>
  <w:style w:type="paragraph" w:styleId="Caption111" w:customStyle="1">
    <w:name w:val="caption1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Normal"/>
    <w:qFormat/>
    <w:pPr>
      <w:suppressLineNumbers/>
    </w:pPr>
    <w:rPr>
      <w:rFonts w:cs="Lohit Devanagari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uiPriority w:val="99"/>
    <w:qFormat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4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qFormat/>
    <w:rsid w:val="0076353a"/>
    <w:pPr>
      <w:tabs>
        <w:tab w:val="clear" w:pos="4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link w:val="22"/>
    <w:qFormat/>
    <w:rsid w:val="0076353a"/>
    <w:pPr>
      <w:keepNext w:val="true"/>
      <w:tabs>
        <w:tab w:val="clear" w:pos="4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1276" w:hanging="556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4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таблицы"/>
    <w:basedOn w:val="Normal"/>
    <w:qFormat/>
    <w:pPr/>
    <w:rPr/>
  </w:style>
  <w:style w:type="paragraph" w:styleId="Style34" w:customStyle="1">
    <w:name w:val="Заголовок таблицы"/>
    <w:basedOn w:val="Style33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uiPriority w:val="99"/>
    <w:rsid w:val="00524f5f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s://docs.cntd.ru/document/573068702" TargetMode="External"/><Relationship Id="rId5" Type="http://schemas.openxmlformats.org/officeDocument/2006/relationships/hyperlink" Target="https://docs.cntd.ru/document/573113861" TargetMode="External"/><Relationship Id="rId6" Type="http://schemas.openxmlformats.org/officeDocument/2006/relationships/hyperlink" Target="https://docs.cntd.ru/document/573068704" TargetMode="External"/><Relationship Id="rId7" Type="http://schemas.openxmlformats.org/officeDocument/2006/relationships/hyperlink" Target="https://docs.cntd.ru/document/573264184" TargetMode="External"/><Relationship Id="rId8" Type="http://schemas.openxmlformats.org/officeDocument/2006/relationships/hyperlink" Target="https://docs.cntd.ru/document/573114692" TargetMode="External"/><Relationship Id="rId9" Type="http://schemas.openxmlformats.org/officeDocument/2006/relationships/hyperlink" Target="https://docs.cntd.ru/document/573230630" TargetMode="External"/><Relationship Id="rId10" Type="http://schemas.openxmlformats.org/officeDocument/2006/relationships/hyperlink" Target="https://docs.cntd.ru/document/565837297" TargetMode="External"/><Relationship Id="rId11" Type="http://schemas.openxmlformats.org/officeDocument/2006/relationships/hyperlink" Target="https://docs.cntd.ru/document/1200083051" TargetMode="External"/><Relationship Id="rId12" Type="http://schemas.openxmlformats.org/officeDocument/2006/relationships/hyperlink" Target="https://docs.cntd.ru/document/1200083051" TargetMode="External"/><Relationship Id="rId13" Type="http://schemas.openxmlformats.org/officeDocument/2006/relationships/hyperlink" Target="https://docs.cntd.ru/document/1200030012" TargetMode="External"/><Relationship Id="rId14" Type="http://schemas.openxmlformats.org/officeDocument/2006/relationships/hyperlink" Target="https://docs.cntd.ru/document/1200067462" TargetMode="External"/><Relationship Id="rId15" Type="http://schemas.openxmlformats.org/officeDocument/2006/relationships/hyperlink" Target="https://docs.cntd.ru/document/1200060588" TargetMode="External"/><Relationship Id="rId16" Type="http://schemas.openxmlformats.org/officeDocument/2006/relationships/hyperlink" Target="https://docs.cntd.ru/document/871001100" TargetMode="External"/><Relationship Id="rId17" Type="http://schemas.openxmlformats.org/officeDocument/2006/relationships/hyperlink" Target="https://docs.cntd.ru/document/902023790" TargetMode="External"/><Relationship Id="rId18" Type="http://schemas.openxmlformats.org/officeDocument/2006/relationships/hyperlink" Target="https://docs.cntd.ru/document/902025503" TargetMode="External"/><Relationship Id="rId19" Type="http://schemas.openxmlformats.org/officeDocument/2006/relationships/hyperlink" Target="https://docs.cntd.ru/document/902025503" TargetMode="External"/><Relationship Id="rId20" Type="http://schemas.openxmlformats.org/officeDocument/2006/relationships/hyperlink" Target="https://docs.cntd.ru/document/564542209" TargetMode="External"/><Relationship Id="rId21" Type="http://schemas.openxmlformats.org/officeDocument/2006/relationships/header" Target="header3.xml"/><Relationship Id="rId22" Type="http://schemas.openxmlformats.org/officeDocument/2006/relationships/header" Target="header4.xml"/><Relationship Id="rId23" Type="http://schemas.openxmlformats.org/officeDocument/2006/relationships/header" Target="header5.xml"/><Relationship Id="rId24" Type="http://schemas.openxmlformats.org/officeDocument/2006/relationships/header" Target="header6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<Relationship Id="rId2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96A5-1CA6-4564-B51F-509B2256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AlterOffice/2025.3.1.0$Linux_X86_64 LibreOffice_project/431cd1b79110582f53535c95ed0a2449aadc8bf9</Application>
  <AppVersion>15.0000</AppVersion>
  <Pages>12</Pages>
  <Words>2641</Words>
  <Characters>17406</Characters>
  <CharactersWithSpaces>17473</CharactersWithSpaces>
  <Paragraphs>448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2026-07-03T08:18:00Z</dcterms:created>
  <dc:creator>Быстров Олег Геннадьевич</dc:creator>
  <dc:description/>
  <dc:language>ru-RU</dc:language>
  <cp:lastModifiedBy>melnikovaod</cp:lastModifiedBy>
  <cp:lastPrinted>2006-07-26T14:04:00Z</cp:lastPrinted>
  <dcterms:modified xsi:type="dcterms:W3CDTF">2026-07-06T17:25:11Z</dcterms:modified>
  <cp:revision>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