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8.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outlineLvl w:val="0"/>
        <w:rPr>
          <w:sz w:val="24"/>
        </w:rPr>
      </w:pPr>
      <w:r>
        <w:rPr>
          <w:sz w:val="24"/>
        </w:rPr>
        <w:t xml:space="preserve">Договор поставки № </w:t>
      </w:r>
      <w:r>
        <w:rPr>
          <w:sz w:val="24"/>
          <w:highlight w:val="yellow"/>
        </w:rPr>
        <w:t>_______</w:t>
      </w:r>
    </w:p>
    <w:p>
      <w:pPr>
        <w:pStyle w:val="Normal"/>
        <w:shd w:val="clear" w:color="auto" w:fill="FFFFFF"/>
        <w:spacing w:before="0" w:after="120"/>
        <w:rPr>
          <w:sz w:val="24"/>
          <w:szCs w:val="24"/>
          <w:highlight w:val="yellow"/>
        </w:rPr>
      </w:pPr>
      <w:r>
        <w:rPr>
          <w:sz w:val="24"/>
          <w:szCs w:val="24"/>
        </w:rPr>
        <w:t>г. Москва</w:t>
        <w:tab/>
        <w:tab/>
        <w:t xml:space="preserve">                      </w:t>
        <w:tab/>
        <w:tab/>
        <w:tab/>
        <w:tab/>
        <w:t xml:space="preserve"> </w:t>
        <w:tab/>
      </w:r>
      <w:r>
        <w:rPr>
          <w:sz w:val="24"/>
          <w:szCs w:val="24"/>
          <w:highlight w:val="yellow"/>
        </w:rPr>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 действующего на основании доверенности №___ от ______, с одной стороны, и</w:t>
      </w:r>
    </w:p>
    <w:p>
      <w:pPr>
        <w:pStyle w:val="Normal"/>
        <w:spacing w:before="0" w:after="120"/>
        <w:ind w:firstLine="567"/>
        <w:jc w:val="both"/>
        <w:rPr>
          <w:sz w:val="24"/>
          <w:szCs w:val="24"/>
        </w:rPr>
      </w:pPr>
      <w:r>
        <w:rPr>
          <w:b/>
          <w:sz w:val="24"/>
          <w:szCs w:val="24"/>
        </w:rPr>
        <w:t>___________________________________ (________________),</w:t>
      </w:r>
      <w:r>
        <w:rPr>
          <w:sz w:val="24"/>
          <w:szCs w:val="24"/>
        </w:rPr>
        <w:t xml:space="preserve"> именуемое в дальнейшем «</w:t>
      </w:r>
      <w:r>
        <w:rPr>
          <w:b/>
          <w:sz w:val="24"/>
          <w:szCs w:val="24"/>
        </w:rPr>
        <w:t>Поставщик</w:t>
      </w:r>
      <w:r>
        <w:rPr>
          <w:sz w:val="24"/>
          <w:szCs w:val="24"/>
        </w:rPr>
        <w:t xml:space="preserve">», в лице ___________________________, действующего на основании Устава,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 xml:space="preserve">по результатам проведенного ________________ на право заключения договора (лот №_____________________--), что подтверждается ___________________________________,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s>
        <w:spacing w:before="0" w:after="120"/>
        <w:ind w:left="0" w:firstLine="567"/>
        <w:jc w:val="both"/>
        <w:rPr>
          <w:b w:val="false"/>
          <w:sz w:val="24"/>
        </w:rPr>
      </w:pPr>
      <w:r>
        <w:rPr>
          <w:b w:val="false"/>
          <w:sz w:val="24"/>
        </w:rPr>
        <w:t xml:space="preserve">Поставщик обязуется передать Покупателю </w:t>
      </w:r>
      <w:r>
        <w:rPr>
          <w:sz w:val="24"/>
        </w:rPr>
        <w:t xml:space="preserve">_________________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709" w:leader="none"/>
        </w:tabs>
        <w:spacing w:before="0" w:after="120"/>
        <w:ind w:left="0" w:firstLine="567"/>
        <w:contextualSpacing w:val="false"/>
        <w:jc w:val="both"/>
        <w:rPr>
          <w:sz w:val="24"/>
          <w:szCs w:val="24"/>
        </w:rPr>
      </w:pPr>
      <w:r>
        <w:rPr>
          <w:sz w:val="24"/>
          <w:szCs w:val="24"/>
        </w:rPr>
        <w:t>Поставка по Договору выполняется для нужд ____________________.</w:t>
      </w:r>
    </w:p>
    <w:p>
      <w:pPr>
        <w:pStyle w:val="ListParagraph"/>
        <w:numPr>
          <w:ilvl w:val="1"/>
          <w:numId w:val="6"/>
        </w:numPr>
        <w:shd w:val="clear" w:color="auto" w:fill="FFFFFF"/>
        <w:tabs>
          <w:tab w:val="clear" w:pos="720"/>
          <w:tab w:val="left" w:pos="540" w:leader="none"/>
        </w:tabs>
        <w:spacing w:before="0" w:after="120"/>
        <w:ind w:left="0" w:firstLine="567"/>
        <w:contextualSpacing w:val="false"/>
        <w:jc w:val="both"/>
        <w:rPr>
          <w:sz w:val="24"/>
          <w:szCs w:val="24"/>
        </w:rPr>
      </w:pPr>
      <w:r>
        <w:rPr>
          <w:sz w:val="24"/>
          <w:szCs w:val="24"/>
        </w:rPr>
        <w:t xml:space="preserve">Место </w:t>
      </w:r>
      <w:r>
        <w:rPr>
          <w:color w:val="000000"/>
          <w:sz w:val="24"/>
          <w:szCs w:val="24"/>
          <w:lang w:bidi="ru-RU"/>
        </w:rPr>
        <w:t>поставки: _________________________. (далее – «Место поставки</w:t>
      </w:r>
      <w:r>
        <w:rPr>
          <w:sz w:val="24"/>
          <w:szCs w:val="24"/>
        </w:rPr>
        <w:t>»).</w:t>
      </w:r>
    </w:p>
    <w:p>
      <w:pPr>
        <w:pStyle w:val="ListParagraph"/>
        <w:numPr>
          <w:ilvl w:val="1"/>
          <w:numId w:val="6"/>
        </w:numPr>
        <w:shd w:val="clear" w:color="auto" w:fill="FFFFFF"/>
        <w:tabs>
          <w:tab w:val="clear" w:pos="720"/>
          <w:tab w:val="left" w:pos="540" w:leader="none"/>
          <w:tab w:val="left" w:pos="567" w:leader="none"/>
        </w:tabs>
        <w:spacing w:before="0" w:after="120"/>
        <w:ind w:left="0" w:firstLine="567"/>
        <w:contextualSpacing w:val="false"/>
        <w:jc w:val="both"/>
        <w:rPr>
          <w:sz w:val="24"/>
          <w:szCs w:val="24"/>
        </w:rPr>
      </w:pPr>
      <w:r>
        <w:rPr>
          <w:sz w:val="24"/>
          <w:szCs w:val="24"/>
        </w:rPr>
        <w:t>Срок поставки Продукции по договору: ______________________.</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567"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(________________) рубля 00 копеек без учета НДС, при этом НДС исчисляется дополнительно по ставке, установленной статьей 164 Налогового кодекса РФ (далее-НК РФ). </w:t>
      </w:r>
    </w:p>
    <w:p>
      <w:pPr>
        <w:pStyle w:val="ListParagraph"/>
        <w:numPr>
          <w:ilvl w:val="1"/>
          <w:numId w:val="6"/>
        </w:numPr>
        <w:shd w:val="clear" w:color="auto" w:fill="FFFFFF"/>
        <w:tabs>
          <w:tab w:val="clear" w:pos="720"/>
          <w:tab w:val="left" w:pos="851" w:leader="none"/>
        </w:tabs>
        <w:spacing w:before="0" w:after="120"/>
        <w:ind w:left="0" w:firstLine="567"/>
        <w:contextualSpacing w:val="false"/>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от стоимости Продукции выплачивается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Продукции</w:t>
      </w:r>
      <w:r>
        <w:rPr>
          <w:sz w:val="24"/>
          <w:szCs w:val="24"/>
          <w:lang w:eastAsia="en-US"/>
        </w:rPr>
        <w:t xml:space="preserve">, с учетом п. </w:t>
      </w:r>
      <w:r>
        <w:rPr>
          <w:sz w:val="24"/>
          <w:szCs w:val="24"/>
        </w:rPr>
        <w:t>2.6.</w:t>
      </w:r>
      <w:r>
        <w:rPr>
          <w:sz w:val="24"/>
          <w:szCs w:val="24"/>
          <w:lang w:eastAsia="en-US"/>
        </w:rPr>
        <w:t xml:space="preserve"> Договора. </w:t>
      </w:r>
    </w:p>
    <w:p>
      <w:pPr>
        <w:pStyle w:val="Normal"/>
        <w:shd w:val="clear" w:color="auto" w:fill="FFFFFF"/>
        <w:tabs>
          <w:tab w:val="clear" w:pos="720"/>
          <w:tab w:val="left" w:pos="1276" w:leader="none"/>
        </w:tabs>
        <w:spacing w:before="0" w:after="120"/>
        <w:jc w:val="both"/>
        <w:rPr>
          <w:sz w:val="24"/>
          <w:szCs w:val="24"/>
        </w:rPr>
      </w:pPr>
      <w:r>
        <w:rPr>
          <w:sz w:val="24"/>
          <w:szCs w:val="24"/>
        </w:rPr>
        <w:tab/>
        <w:t>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 в виде банковской гарантии, оформленной в соответствии с требованиями Приложения № 3 к Договору.</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В случаях: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 xml:space="preserve">- наступления иных обстоятельств до срока окончания действия гарантии, в связи с которыми гарантия теряет свою силу или предъявление требований по гарантии не представляется возможным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Поставщик обязан предоставить Покупателю новую гарантию, отвечающую требованиям, указанным в Приложении № 4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Покупателя с требованием о замене гарантии.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В случае непредставления Поставщиком в установленный срок новой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За непредставление либо несвоевременное предоставление / переоформление Поставщиком гарантий, предусмотренных Договором, Покупатель вправе потребовать уплаты Поставщиком неустойки в размере 0,03 (ноль целых и три сотых) процента от цены Договора за каждый день просрочки.</w:t>
      </w:r>
    </w:p>
    <w:p>
      <w:pPr>
        <w:pStyle w:val="Normal"/>
        <w:shd w:val="clear" w:color="auto" w:fill="FFFFFF"/>
        <w:tabs>
          <w:tab w:val="clear" w:pos="720"/>
          <w:tab w:val="left" w:pos="1276" w:leader="none"/>
        </w:tabs>
        <w:spacing w:before="0" w:after="120"/>
        <w:jc w:val="both"/>
        <w:rPr>
          <w:sz w:val="24"/>
          <w:szCs w:val="24"/>
        </w:rPr>
      </w:pPr>
      <w:r>
        <w:rPr>
          <w:sz w:val="24"/>
          <w:szCs w:val="24"/>
        </w:rPr>
        <w:tab/>
        <w:t>Гарантия возвращается 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Normal"/>
        <w:jc w:val="both"/>
        <w:rPr>
          <w:sz w:val="24"/>
          <w:szCs w:val="24"/>
        </w:rPr>
      </w:pPr>
      <w:r>
        <w:rPr>
          <w:sz w:val="24"/>
          <w:szCs w:val="24"/>
        </w:rPr>
        <w:tab/>
        <w:t>2.5.2.  Платеж в размере 70% от стоимости Продукции, согласно Спецификации, производится Покупателем в срок не более 30 (тридцать) календарных дней/7 (семи) рабочих дней</w:t>
      </w:r>
      <w:r>
        <w:rPr>
          <w:rStyle w:val="FootnoteReference"/>
          <w:sz w:val="24"/>
          <w:szCs w:val="24"/>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24"/>
        </w:numPr>
        <w:shd w:val="clear" w:color="auto" w:fill="FFFFFF"/>
        <w:tabs>
          <w:tab w:val="clear" w:pos="720"/>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24"/>
        </w:numPr>
        <w:shd w:val="clear" w:color="auto" w:fill="FFFFFF"/>
        <w:tabs>
          <w:tab w:val="clear" w:pos="720"/>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4"/>
        </w:numPr>
        <w:tabs>
          <w:tab w:val="clear" w:pos="720"/>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24"/>
        </w:numPr>
        <w:tabs>
          <w:tab w:val="clear" w:pos="720"/>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24"/>
        </w:numPr>
        <w:tabs>
          <w:tab w:val="clear" w:pos="720"/>
          <w:tab w:val="left" w:pos="142" w:leader="none"/>
          <w:tab w:val="left" w:pos="851" w:leader="none"/>
        </w:tabs>
        <w:spacing w:before="0" w:after="120"/>
        <w:ind w:left="142" w:firstLine="425"/>
        <w:contextualSpacing/>
        <w:jc w:val="both"/>
        <w:rPr>
          <w:sz w:val="24"/>
          <w:szCs w:val="24"/>
        </w:rPr>
      </w:pPr>
      <w:r>
        <w:rPr>
          <w:sz w:val="24"/>
          <w:szCs w:val="24"/>
        </w:rPr>
        <w:t xml:space="preserve"> </w:t>
      </w:r>
      <w:r>
        <w:rPr>
          <w:sz w:val="24"/>
          <w:szCs w:val="24"/>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4"/>
        </w:numPr>
        <w:tabs>
          <w:tab w:val="clear" w:pos="720"/>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Normal"/>
        <w:widowControl w:val="false"/>
        <w:numPr>
          <w:ilvl w:val="0"/>
          <w:numId w:val="24"/>
        </w:numPr>
        <w:shd w:val="clear" w:color="auto" w:fill="FFFFFF"/>
        <w:tabs>
          <w:tab w:val="clear" w:pos="720"/>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Упаковочный лист на Продукцию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color w:val="000000"/>
          <w:sz w:val="24"/>
          <w:szCs w:val="24"/>
        </w:rPr>
        <w:t>Сертификат о происхождении товара;</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w:t>
      </w:r>
      <w:r>
        <w:rPr>
          <w:color w:val="000000"/>
          <w:sz w:val="24"/>
          <w:szCs w:val="24"/>
        </w:rPr>
        <w:t>.</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Продукцию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120"/>
        <w:ind w:left="0" w:firstLine="567"/>
        <w:jc w:val="both"/>
        <w:rPr>
          <w:sz w:val="24"/>
          <w:szCs w:val="24"/>
        </w:rPr>
      </w:pPr>
      <w:r>
        <w:rPr>
          <w:sz w:val="24"/>
          <w:szCs w:val="24"/>
        </w:rPr>
        <w:t>В случае неявки представителя Поставщика и / или его отказа от подписания Акта рекламации при приемке Продукцию,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Продукцию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ListParagraph"/>
        <w:numPr>
          <w:ilvl w:val="1"/>
          <w:numId w:val="4"/>
        </w:numPr>
        <w:tabs>
          <w:tab w:val="clear" w:pos="720"/>
          <w:tab w:val="left" w:pos="1134" w:leader="none"/>
          <w:tab w:val="left" w:pos="1276" w:leader="none"/>
        </w:tabs>
        <w:spacing w:before="0" w:after="120"/>
        <w:ind w:left="0" w:firstLine="567"/>
        <w:contextualSpacing/>
        <w:jc w:val="both"/>
        <w:rPr>
          <w:sz w:val="24"/>
          <w:szCs w:val="24"/>
        </w:rPr>
      </w:pPr>
      <w:r>
        <w:rPr>
          <w:sz w:val="24"/>
          <w:szCs w:val="24"/>
        </w:rPr>
        <w:t>На Продукцию устанавливается гарантийный срок, равный 36 (Тридцать шесть) месяцев, исчисляемый с даты ввода Продукции в эксплуатацию, но не более 48 (Сорок восемь) месяцев с даты подписания Сторонами товарной накладной по форме ТОРГ-12 или Универсального передаточного документа (УПД).</w:t>
      </w:r>
    </w:p>
    <w:p>
      <w:pPr>
        <w:pStyle w:val="Normal"/>
        <w:tabs>
          <w:tab w:val="clear" w:pos="720"/>
          <w:tab w:val="left" w:pos="1134" w:leader="none"/>
          <w:tab w:val="left" w:pos="1276" w:leader="none"/>
        </w:tabs>
        <w:spacing w:before="0" w:after="120"/>
        <w:jc w:val="both"/>
        <w:rPr>
          <w:sz w:val="24"/>
          <w:szCs w:val="24"/>
        </w:rPr>
      </w:pPr>
      <w:r>
        <w:rPr>
          <w:sz w:val="24"/>
          <w:szCs w:val="24"/>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3.17.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24"/>
        </w:numPr>
        <w:shd w:val="clear" w:color="auto" w:fill="FFFFFF"/>
        <w:tabs>
          <w:tab w:val="clear" w:pos="720"/>
          <w:tab w:val="left" w:pos="0"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25"/>
        </w:numPr>
        <w:shd w:val="clear" w:color="auto" w:fill="FFFFFF"/>
        <w:tabs>
          <w:tab w:val="clear" w:pos="720"/>
          <w:tab w:val="left" w:pos="993"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25"/>
        </w:numPr>
        <w:shd w:val="clear" w:color="auto" w:fill="FFFFFF"/>
        <w:tabs>
          <w:tab w:val="clear" w:pos="720"/>
          <w:tab w:val="left" w:pos="0"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25"/>
        </w:numPr>
        <w:tabs>
          <w:tab w:val="clear" w:pos="720"/>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дня/дней до даты поставки.</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25"/>
        </w:numPr>
        <w:shd w:val="clear" w:color="auto" w:fill="FFFFFF"/>
        <w:tabs>
          <w:tab w:val="clear" w:pos="720"/>
          <w:tab w:val="left" w:pos="0"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25"/>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shd w:val="clear" w:color="auto" w:fill="FFFFFF"/>
        <w:tabs>
          <w:tab w:val="clear" w:pos="720"/>
          <w:tab w:val="left" w:pos="1276" w:leader="none"/>
        </w:tabs>
        <w:spacing w:before="0" w:after="120"/>
        <w:ind w:firstLine="567"/>
        <w:jc w:val="both"/>
        <w:rPr>
          <w:sz w:val="24"/>
          <w:szCs w:val="24"/>
        </w:rPr>
      </w:pPr>
      <w:r>
        <w:rPr>
          <w:sz w:val="24"/>
          <w:szCs w:val="24"/>
        </w:rPr>
        <w:t>6.3.</w:t>
        <w:tab/>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26"/>
        </w:numPr>
        <w:shd w:val="clear" w:color="auto" w:fill="FFFFFF"/>
        <w:tabs>
          <w:tab w:val="clear" w:pos="720"/>
          <w:tab w:val="left" w:pos="851" w:leader="none"/>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сроков поставки, недопоставка), Покупатель вправе потребовать уплаты Поставщиком неустойки в размере 0,1% от Цены Договора за каждый день просрочки.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w:t>
      </w:r>
      <w:r>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w:t>
      </w:r>
      <w:r>
        <w:rPr>
          <w:sz w:val="24"/>
          <w:szCs w:val="24"/>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26"/>
        </w:numPr>
        <w:shd w:val="clear" w:color="auto" w:fill="FFFFFF"/>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26"/>
        </w:numPr>
        <w:shd w:val="clear" w:color="auto" w:fill="FFFFFF"/>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2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w:t>
      </w:r>
      <w:r>
        <w:rPr>
          <w:color w:val="FF0000"/>
          <w:sz w:val="24"/>
          <w:szCs w:val="24"/>
        </w:rPr>
        <w:t>.</w:t>
      </w:r>
      <w:r>
        <w:rPr>
          <w:sz w:val="24"/>
          <w:szCs w:val="24"/>
        </w:rPr>
        <w:t>14.7 Договора, представив заверенные копии документов, подтверждающие такие изменения, а именно:</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0"/>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w:t>
      </w:r>
      <w:r>
        <w:rPr>
          <w:color w:val="FF0000"/>
          <w:sz w:val="24"/>
          <w:szCs w:val="24"/>
        </w:rPr>
        <w:t>.</w:t>
      </w:r>
      <w:r>
        <w:rPr>
          <w:sz w:val="24"/>
          <w:szCs w:val="24"/>
        </w:rPr>
        <w:t>13</w:t>
      </w:r>
      <w:r>
        <w:rPr>
          <w:color w:val="FF0000"/>
          <w:sz w:val="24"/>
          <w:szCs w:val="24"/>
        </w:rPr>
        <w:t xml:space="preserve"> </w:t>
      </w:r>
      <w:r>
        <w:rPr>
          <w:sz w:val="24"/>
          <w:szCs w:val="24"/>
        </w:rPr>
        <w:t>Договора, а также:</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0"/>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0"/>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0"/>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0"/>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2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26"/>
        </w:numPr>
        <w:shd w:val="clear" w:color="auto" w:fill="FFFFFF"/>
        <w:tabs>
          <w:tab w:val="clear" w:pos="720"/>
          <w:tab w:val="left" w:pos="2276" w:leader="none"/>
        </w:tabs>
        <w:spacing w:before="0" w:after="120"/>
        <w:ind w:left="0" w:firstLine="567"/>
        <w:jc w:val="both"/>
        <w:rPr>
          <w:sz w:val="24"/>
          <w:szCs w:val="24"/>
        </w:rPr>
      </w:pPr>
      <w:r>
        <w:rPr>
          <w:sz w:val="24"/>
          <w:szCs w:val="24"/>
        </w:rPr>
        <w:t>Независимо от любых других положений Договора в случае не предоставления в установленный срок Поставщиком документов, указанных в п.6.13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26"/>
        </w:numPr>
        <w:shd w:val="clear" w:color="auto" w:fill="FFFFFF"/>
        <w:tabs>
          <w:tab w:val="clear" w:pos="720"/>
          <w:tab w:val="left" w:pos="2276" w:leader="none"/>
        </w:tabs>
        <w:spacing w:before="0" w:after="120"/>
        <w:ind w:left="0" w:firstLine="567"/>
        <w:jc w:val="both"/>
        <w:rPr>
          <w:sz w:val="24"/>
          <w:szCs w:val="24"/>
        </w:rPr>
      </w:pPr>
      <w:r>
        <w:rPr>
          <w:sz w:val="24"/>
          <w:szCs w:val="24"/>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п.6.14 Договора выше.</w:t>
      </w:r>
    </w:p>
    <w:p>
      <w:pPr>
        <w:pStyle w:val="ListParagraph"/>
        <w:widowControl/>
        <w:numPr>
          <w:ilvl w:val="1"/>
          <w:numId w:val="26"/>
        </w:numPr>
        <w:shd w:val="clear" w:color="auto" w:fill="FFFFFF"/>
        <w:tabs>
          <w:tab w:val="clear" w:pos="720"/>
          <w:tab w:val="left" w:pos="1134" w:leader="none"/>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ind w:firstLine="1134"/>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ind w:firstLine="1134"/>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1425" w:hanging="0"/>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1134" w:leader="none"/>
        </w:tabs>
        <w:ind w:left="1425" w:hanging="0"/>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spacing w:lineRule="auto" w:line="259" w:before="0" w:after="160"/>
        <w:ind w:left="1425" w:hanging="0"/>
        <w:contextualSpacing/>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20"/>
          <w:tab w:val="left" w:pos="1276" w:leader="none"/>
          <w:tab w:val="left" w:pos="1418" w:leader="none"/>
        </w:tabs>
        <w:ind w:firstLine="1276"/>
        <w:jc w:val="both"/>
        <w:rPr>
          <w:bCs/>
          <w:sz w:val="24"/>
          <w:szCs w:val="24"/>
        </w:rPr>
      </w:pPr>
      <w:r>
        <w:rPr>
          <w:bCs/>
          <w:sz w:val="24"/>
          <w:szCs w:val="24"/>
        </w:rPr>
        <w:t>6.17.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0"/>
          <w:numId w:val="0"/>
        </w:numPr>
        <w:tabs>
          <w:tab w:val="clear" w:pos="720"/>
          <w:tab w:val="left" w:pos="567" w:leader="none"/>
        </w:tabs>
        <w:spacing w:before="0" w:after="120"/>
        <w:ind w:firstLine="1276"/>
        <w:jc w:val="both"/>
        <w:outlineLvl w:val="0"/>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tabs>
          <w:tab w:val="clear" w:pos="720"/>
          <w:tab w:val="left" w:pos="567" w:leader="none"/>
        </w:tabs>
        <w:spacing w:before="0" w:after="120"/>
        <w:ind w:firstLine="567"/>
        <w:jc w:val="both"/>
        <w:outlineLvl w:val="0"/>
        <w:rPr>
          <w:sz w:val="24"/>
          <w:szCs w:val="24"/>
        </w:rPr>
      </w:pPr>
      <w:r>
        <w:rPr>
          <w:bCs/>
          <w:sz w:val="24"/>
          <w:szCs w:val="24"/>
        </w:rPr>
        <w:t>6</w:t>
      </w:r>
      <w:r>
        <w:rPr>
          <w:sz w:val="24"/>
          <w:szCs w:val="24"/>
        </w:rPr>
        <w:t>.18.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0"/>
          <w:numId w:val="17"/>
        </w:numPr>
        <w:shd w:val="clear" w:color="auto" w:fill="FFFFFF"/>
        <w:tabs>
          <w:tab w:val="clear" w:pos="720"/>
          <w:tab w:val="left" w:pos="1276" w:leader="none"/>
        </w:tabs>
        <w:spacing w:before="0" w:after="120"/>
        <w:contextualSpacing/>
        <w:jc w:val="center"/>
        <w:rPr>
          <w:b/>
          <w:bCs/>
          <w:sz w:val="24"/>
          <w:szCs w:val="24"/>
        </w:rPr>
      </w:pPr>
      <w:r>
        <w:rPr>
          <w:b/>
          <w:bCs/>
          <w:sz w:val="24"/>
          <w:szCs w:val="24"/>
        </w:rPr>
        <w:t>Особые положения</w:t>
      </w:r>
    </w:p>
    <w:p>
      <w:pPr>
        <w:pStyle w:val="ListParagraph"/>
        <w:numPr>
          <w:ilvl w:val="1"/>
          <w:numId w:val="17"/>
        </w:numPr>
        <w:shd w:val="clear" w:color="auto" w:fill="FFFFFF"/>
        <w:spacing w:before="0" w:after="120"/>
        <w:ind w:left="0" w:firstLine="567"/>
        <w:contextualSpacing/>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15 (пятнадцати) календарных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7"/>
        </w:numPr>
        <w:shd w:val="clear" w:color="auto" w:fill="FFFFFF"/>
        <w:spacing w:before="0" w:after="120"/>
        <w:jc w:val="center"/>
        <w:rPr>
          <w:b/>
          <w:bCs/>
          <w:sz w:val="24"/>
          <w:szCs w:val="24"/>
        </w:rPr>
      </w:pPr>
      <w:r>
        <w:rPr>
          <w:b/>
          <w:sz w:val="24"/>
          <w:szCs w:val="24"/>
        </w:rPr>
        <w:t>Форс</w:t>
      </w:r>
      <w:r>
        <w:rPr>
          <w:b/>
          <w:bCs/>
          <w:sz w:val="24"/>
          <w:szCs w:val="24"/>
        </w:rPr>
        <w:t>-мажор</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7"/>
        </w:numPr>
        <w:shd w:val="clear" w:color="auto" w:fill="FFFFFF"/>
        <w:spacing w:before="0" w:after="120"/>
        <w:jc w:val="center"/>
        <w:rPr>
          <w:b/>
          <w:bCs/>
          <w:sz w:val="24"/>
          <w:szCs w:val="24"/>
        </w:rPr>
      </w:pPr>
      <w:r>
        <w:rPr>
          <w:b/>
          <w:sz w:val="24"/>
          <w:szCs w:val="24"/>
        </w:rPr>
        <w:t>Конфиденциальность</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9"/>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9"/>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7"/>
        </w:numPr>
        <w:shd w:val="clear" w:color="auto" w:fill="FFFFFF"/>
        <w:spacing w:before="0" w:after="120"/>
        <w:jc w:val="center"/>
        <w:rPr>
          <w:b/>
          <w:sz w:val="24"/>
          <w:szCs w:val="24"/>
        </w:rPr>
      </w:pPr>
      <w:r>
        <w:rPr>
          <w:b/>
          <w:sz w:val="24"/>
          <w:szCs w:val="24"/>
        </w:rPr>
        <w:t>Инсайдерская оговорка</w:t>
      </w:r>
    </w:p>
    <w:p>
      <w:pPr>
        <w:pStyle w:val="Normal"/>
        <w:widowControl w:val="false"/>
        <w:numPr>
          <w:ilvl w:val="1"/>
          <w:numId w:val="17"/>
        </w:numPr>
        <w:shd w:val="clear" w:color="auto" w:fill="FFFFFF"/>
        <w:tabs>
          <w:tab w:val="clear" w:pos="720"/>
          <w:tab w:val="left" w:pos="1283" w:leader="none"/>
          <w:tab w:val="left" w:pos="1425"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7"/>
        </w:numPr>
        <w:shd w:val="clear" w:color="auto" w:fill="FFFFFF"/>
        <w:tabs>
          <w:tab w:val="clear" w:pos="720"/>
          <w:tab w:val="left" w:pos="1440"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tabs>
          <w:tab w:val="clear" w:pos="720"/>
          <w:tab w:val="left" w:pos="1440"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7"/>
        </w:numPr>
        <w:shd w:val="clear" w:color="auto" w:fill="FFFFFF"/>
        <w:spacing w:before="0" w:after="120"/>
        <w:jc w:val="center"/>
        <w:rPr>
          <w:b/>
          <w:sz w:val="24"/>
          <w:szCs w:val="24"/>
        </w:rPr>
      </w:pPr>
      <w:r>
        <w:rPr>
          <w:b/>
          <w:sz w:val="24"/>
          <w:szCs w:val="24"/>
        </w:rPr>
        <w:t>Разрешение споров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 в соответствии с действующим законодательством РФ </w:t>
      </w:r>
    </w:p>
    <w:p>
      <w:pPr>
        <w:pStyle w:val="Normal"/>
        <w:widowControl w:val="false"/>
        <w:numPr>
          <w:ilvl w:val="0"/>
          <w:numId w:val="17"/>
        </w:numPr>
        <w:shd w:val="clear" w:color="auto" w:fill="FFFFFF"/>
        <w:spacing w:before="0" w:after="120"/>
        <w:jc w:val="center"/>
        <w:rPr>
          <w:b/>
          <w:bCs/>
          <w:sz w:val="24"/>
          <w:szCs w:val="24"/>
        </w:rPr>
      </w:pPr>
      <w:r>
        <w:rPr>
          <w:b/>
          <w:bCs/>
          <w:sz w:val="24"/>
          <w:szCs w:val="24"/>
        </w:rPr>
        <w:t>Прекращение (расторжение) Договора</w:t>
      </w:r>
    </w:p>
    <w:p>
      <w:pPr>
        <w:pStyle w:val="Normal"/>
        <w:widowControl w:val="false"/>
        <w:numPr>
          <w:ilvl w:val="1"/>
          <w:numId w:val="17"/>
        </w:numPr>
        <w:shd w:val="clear" w:color="auto" w:fill="FFFFFF"/>
        <w:tabs>
          <w:tab w:val="clear" w:pos="720"/>
          <w:tab w:val="left" w:pos="1425"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15 (пятнадцати) календарных дней со дня его получения</w:t>
      </w:r>
      <w:r>
        <w:rPr/>
        <w:t>.</w:t>
      </w:r>
    </w:p>
    <w:p>
      <w:pPr>
        <w:pStyle w:val="Normal"/>
        <w:widowControl w:val="false"/>
        <w:numPr>
          <w:ilvl w:val="1"/>
          <w:numId w:val="17"/>
        </w:numPr>
        <w:shd w:val="clear" w:color="auto" w:fill="FFFFFF"/>
        <w:tabs>
          <w:tab w:val="clear" w:pos="720"/>
          <w:tab w:val="left" w:pos="1425" w:leader="none"/>
        </w:tabs>
        <w:spacing w:before="0" w:after="120"/>
        <w:ind w:left="0" w:firstLine="567"/>
        <w:jc w:val="both"/>
        <w:rPr>
          <w:sz w:val="24"/>
          <w:szCs w:val="24"/>
        </w:rPr>
      </w:pPr>
      <w:r>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tabs>
          <w:tab w:val="clear" w:pos="720"/>
          <w:tab w:val="left" w:pos="1425"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7"/>
        </w:numPr>
        <w:shd w:val="clear" w:color="auto" w:fill="FFFFFF"/>
        <w:tabs>
          <w:tab w:val="clear" w:pos="720"/>
          <w:tab w:val="left" w:pos="1425" w:leader="none"/>
        </w:tabs>
        <w:spacing w:before="0" w:after="120"/>
        <w:ind w:left="0" w:firstLine="567"/>
        <w:jc w:val="both"/>
        <w:rPr>
          <w:sz w:val="24"/>
          <w:szCs w:val="24"/>
        </w:rPr>
      </w:pPr>
      <w:r>
        <w:rPr>
          <w:sz w:val="24"/>
          <w:szCs w:val="24"/>
        </w:rPr>
        <w:t>В случае отказа Покупателя от Договора в случаях, предусмотренных пунктами 12.2., 12.3., 12.4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tabs>
          <w:tab w:val="clear" w:pos="720"/>
          <w:tab w:val="left" w:pos="1425"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ListParagraph"/>
        <w:numPr>
          <w:ilvl w:val="1"/>
          <w:numId w:val="17"/>
        </w:numPr>
        <w:spacing w:before="0" w:after="120"/>
        <w:ind w:left="0" w:firstLine="567"/>
        <w:contextualSpacing w:val="false"/>
        <w:jc w:val="both"/>
        <w:rPr>
          <w:sz w:val="24"/>
          <w:szCs w:val="24"/>
        </w:rPr>
      </w:pPr>
      <w:r>
        <w:rPr>
          <w:sz w:val="24"/>
          <w:szCs w:val="24"/>
        </w:rPr>
        <w:t>С даты прекращения (расторжения) Договора Поставщик обязан прекратить поставку Продукции.</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 xml:space="preserve">При прекращении (расторжении) Договора по основаниям, указанным </w:t>
        <w:br/>
        <w:t xml:space="preserve">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 </w:t>
      </w:r>
    </w:p>
    <w:p>
      <w:pPr>
        <w:pStyle w:val="Normal"/>
        <w:widowControl w:val="false"/>
        <w:numPr>
          <w:ilvl w:val="0"/>
          <w:numId w:val="17"/>
        </w:numPr>
        <w:shd w:val="clear" w:color="auto" w:fill="FFFFFF"/>
        <w:spacing w:before="0" w:after="120"/>
        <w:jc w:val="center"/>
        <w:rPr>
          <w:b/>
          <w:sz w:val="24"/>
          <w:szCs w:val="24"/>
        </w:rPr>
      </w:pPr>
      <w:r>
        <w:rPr>
          <w:b/>
          <w:bCs/>
          <w:sz w:val="24"/>
          <w:szCs w:val="24"/>
        </w:rPr>
        <w:t>Заверения</w:t>
      </w:r>
      <w:r>
        <w:rPr>
          <w:b/>
          <w:sz w:val="24"/>
          <w:szCs w:val="24"/>
        </w:rPr>
        <w:t xml:space="preserve"> Сторон</w:t>
      </w:r>
    </w:p>
    <w:p>
      <w:pPr>
        <w:pStyle w:val="ListParagraph"/>
        <w:numPr>
          <w:ilvl w:val="1"/>
          <w:numId w:val="17"/>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4"/>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3"/>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7"/>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17"/>
        </w:numPr>
        <w:shd w:val="clear" w:color="auto" w:fill="FFFFFF"/>
        <w:spacing w:before="0" w:after="120"/>
        <w:jc w:val="center"/>
        <w:rPr>
          <w:b/>
          <w:sz w:val="24"/>
          <w:szCs w:val="24"/>
        </w:rPr>
      </w:pPr>
      <w:r>
        <w:rPr>
          <w:b/>
          <w:sz w:val="24"/>
          <w:szCs w:val="24"/>
        </w:rPr>
        <w:t>Заключительные положения</w:t>
      </w:r>
    </w:p>
    <w:p>
      <w:pPr>
        <w:pStyle w:val="ListParagraph"/>
        <w:numPr>
          <w:ilvl w:val="1"/>
          <w:numId w:val="17"/>
        </w:numPr>
        <w:shd w:val="clear" w:color="auto" w:fill="FFFFFF"/>
        <w:tabs>
          <w:tab w:val="clear" w:pos="720"/>
          <w:tab w:val="left" w:pos="1134" w:leader="none"/>
        </w:tabs>
        <w:ind w:left="0" w:firstLine="567"/>
        <w:jc w:val="both"/>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14.5 Договора. </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7"/>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17"/>
        </w:numPr>
        <w:shd w:val="clear" w:color="auto" w:fill="FFFFFF"/>
        <w:tabs>
          <w:tab w:val="clear" w:pos="720"/>
          <w:tab w:val="left" w:pos="1701" w:leader="none"/>
        </w:tabs>
        <w:ind w:left="0" w:firstLine="567"/>
        <w:jc w:val="both"/>
        <w:rPr>
          <w:bCs/>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7"/>
        </w:numPr>
        <w:shd w:val="clear" w:color="auto" w:fill="FFFFFF"/>
        <w:tabs>
          <w:tab w:val="left" w:pos="720" w:leader="none"/>
        </w:tabs>
        <w:spacing w:before="0" w:after="120"/>
        <w:ind w:left="0" w:firstLine="567"/>
        <w:contextualSpacing/>
        <w:jc w:val="both"/>
        <w:rPr>
          <w:sz w:val="24"/>
          <w:szCs w:val="24"/>
        </w:rPr>
      </w:pPr>
      <w:r>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7"/>
        </w:numPr>
        <w:shd w:val="clear" w:color="auto" w:fill="FFFFFF"/>
        <w:tabs>
          <w:tab w:val="left" w:pos="720" w:leader="none"/>
        </w:tabs>
        <w:spacing w:before="0" w:after="120"/>
        <w:ind w:left="0" w:firstLine="567"/>
        <w:contextualSpacing/>
        <w:jc w:val="both"/>
        <w:rPr>
          <w:sz w:val="24"/>
          <w:szCs w:val="24"/>
        </w:rPr>
      </w:pPr>
      <w:r>
        <w:rPr>
          <w:bCs/>
          <w:sz w:val="24"/>
          <w:szCs w:val="24"/>
        </w:rPr>
        <w:t>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электронной связи должны не позднее того же дня направляться с использованием видов связи, указанных в п. 14.7.1, 14.7.2. Договора.</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 </w:t>
      </w:r>
    </w:p>
    <w:p>
      <w:pPr>
        <w:pStyle w:val="Normal"/>
        <w:widowControl w:val="false"/>
        <w:numPr>
          <w:ilvl w:val="1"/>
          <w:numId w:val="17"/>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7"/>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17"/>
        </w:numPr>
        <w:shd w:val="clear" w:color="auto" w:fill="FFFFFF"/>
        <w:spacing w:before="0" w:after="12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bookmarkStart w:id="3" w:name="sub_1"/>
      <w:r>
        <w:rPr>
          <w:b w:val="false"/>
          <w:sz w:val="24"/>
          <w:szCs w:val="24"/>
        </w:rPr>
        <w:t>- Приложение № 1 – Спецификация.</w:t>
      </w:r>
    </w:p>
    <w:p>
      <w:pPr>
        <w:pStyle w:val="Normal"/>
        <w:spacing w:before="0" w:after="120"/>
        <w:ind w:left="567" w:hanging="567"/>
        <w:rPr>
          <w:sz w:val="24"/>
          <w:szCs w:val="24"/>
        </w:rPr>
      </w:pPr>
      <w:r>
        <w:rPr>
          <w:sz w:val="24"/>
          <w:szCs w:val="24"/>
        </w:rPr>
        <w:tab/>
        <w:t>- Приложение № 2 – Технические требования на поставку продукции.</w:t>
      </w:r>
    </w:p>
    <w:p>
      <w:pPr>
        <w:pStyle w:val="Normal"/>
        <w:spacing w:before="0" w:after="120"/>
        <w:ind w:left="567" w:hanging="567"/>
        <w:rPr>
          <w:sz w:val="24"/>
          <w:szCs w:val="24"/>
        </w:rPr>
      </w:pPr>
      <w:bookmarkStart w:id="4" w:name="sub_1"/>
      <w:r>
        <w:rPr>
          <w:sz w:val="24"/>
          <w:szCs w:val="24"/>
        </w:rPr>
        <w:tab/>
        <w:t>- Приложение № 3 - Финансовое обеспечение исполнения обязательств.</w:t>
      </w:r>
      <w:bookmarkEnd w:id="4"/>
    </w:p>
    <w:p>
      <w:pPr>
        <w:pStyle w:val="Normal"/>
        <w:widowControl w:val="false"/>
        <w:numPr>
          <w:ilvl w:val="0"/>
          <w:numId w:val="17"/>
        </w:numPr>
        <w:shd w:val="clear" w:color="auto" w:fill="FFFFFF"/>
        <w:tabs>
          <w:tab w:val="clear" w:pos="720"/>
          <w:tab w:val="left" w:pos="0"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shd w:color="auto" w:fill="auto" w:val="clear"/>
          </w:tcPr>
          <w:p>
            <w:pPr>
              <w:pStyle w:val="Normal"/>
              <w:widowControl w:val="false"/>
              <w:rPr>
                <w:sz w:val="22"/>
                <w:szCs w:val="22"/>
              </w:rPr>
            </w:pPr>
            <w:r>
              <w:rPr>
                <w:sz w:val="22"/>
                <w:szCs w:val="22"/>
              </w:rPr>
            </w:r>
          </w:p>
          <w:p>
            <w:pPr>
              <w:pStyle w:val="Normal"/>
              <w:widowControl w:val="false"/>
              <w:suppressAutoHyphens w:val="true"/>
              <w:rPr>
                <w:sz w:val="24"/>
                <w:szCs w:val="24"/>
              </w:rPr>
            </w:pPr>
            <w:r>
              <w:rPr>
                <w:b/>
                <w:sz w:val="24"/>
                <w:szCs w:val="24"/>
              </w:rPr>
              <w:t>АО «Гидроремонт-ВКК»</w:t>
            </w:r>
          </w:p>
          <w:p>
            <w:pPr>
              <w:pStyle w:val="Normal"/>
              <w:widowControl w:val="false"/>
              <w:ind w:left="40" w:right="660" w:hanging="0"/>
              <w:rPr>
                <w:sz w:val="24"/>
                <w:szCs w:val="24"/>
              </w:rPr>
            </w:pPr>
            <w:r>
              <w:rPr>
                <w:b/>
                <w:sz w:val="24"/>
                <w:szCs w:val="24"/>
              </w:rPr>
              <w:t>Юридический адрес:</w:t>
            </w:r>
            <w:r>
              <w:rPr>
                <w:sz w:val="24"/>
                <w:szCs w:val="24"/>
              </w:rPr>
              <w:t xml:space="preserve"> 603140, Нижегородская область, г.о. город Нижний Новгород,</w:t>
            </w:r>
          </w:p>
          <w:p>
            <w:pPr>
              <w:pStyle w:val="Normal"/>
              <w:widowControl w:val="false"/>
              <w:ind w:left="40" w:right="660" w:hanging="0"/>
              <w:rPr>
                <w:sz w:val="24"/>
                <w:szCs w:val="24"/>
              </w:rPr>
            </w:pPr>
            <w:r>
              <w:rPr>
                <w:sz w:val="24"/>
                <w:szCs w:val="24"/>
              </w:rPr>
              <w:t>г. Нижний Новгород, пер. Мотальный, д.8, помещ. ВП31, офис С1А</w:t>
            </w:r>
          </w:p>
          <w:p>
            <w:pPr>
              <w:pStyle w:val="Normal"/>
              <w:widowControl w:val="false"/>
              <w:ind w:left="40" w:right="660" w:hanging="0"/>
              <w:rPr>
                <w:sz w:val="24"/>
                <w:szCs w:val="24"/>
              </w:rPr>
            </w:pPr>
            <w:r>
              <w:rPr>
                <w:sz w:val="24"/>
                <w:szCs w:val="24"/>
              </w:rPr>
              <w:t>Грузополучатель: Производственный участок АО "Гидроремонт-ВКК" в г. Якутск.</w:t>
            </w:r>
          </w:p>
          <w:p>
            <w:pPr>
              <w:pStyle w:val="Normal"/>
              <w:widowControl w:val="false"/>
              <w:ind w:left="40" w:right="660" w:hanging="0"/>
              <w:rPr>
                <w:sz w:val="24"/>
                <w:szCs w:val="24"/>
              </w:rPr>
            </w:pPr>
            <w:r>
              <w:rPr>
                <w:sz w:val="24"/>
                <w:szCs w:val="24"/>
              </w:rPr>
              <w:t>Место нахождения: 677004, Республика Саха (Якутия), г. Якутск, ул. Кржижановского, 2, площадка вблизи Якутской ГРЭС</w:t>
            </w:r>
          </w:p>
          <w:p>
            <w:pPr>
              <w:pStyle w:val="Normal"/>
              <w:widowControl w:val="false"/>
              <w:ind w:left="40" w:right="660" w:hanging="0"/>
              <w:rPr>
                <w:sz w:val="24"/>
                <w:szCs w:val="24"/>
              </w:rPr>
            </w:pPr>
            <w:r>
              <w:rPr>
                <w:sz w:val="24"/>
                <w:szCs w:val="24"/>
              </w:rPr>
              <w:t>ИНН/ КПП: 6345012488 /140045001</w:t>
            </w:r>
          </w:p>
          <w:p>
            <w:pPr>
              <w:pStyle w:val="Normal"/>
              <w:widowControl w:val="false"/>
              <w:ind w:left="40" w:right="660" w:hanging="0"/>
              <w:rPr>
                <w:sz w:val="24"/>
                <w:szCs w:val="24"/>
              </w:rPr>
            </w:pPr>
            <w:r>
              <w:rPr>
                <w:sz w:val="24"/>
                <w:szCs w:val="24"/>
              </w:rPr>
              <w:t xml:space="preserve">Плательщик: Саяно-Шушенский филиал АО «Гидроремонт-ВКК» в п. Черемушки, </w:t>
            </w:r>
          </w:p>
          <w:p>
            <w:pPr>
              <w:pStyle w:val="Normal"/>
              <w:widowControl w:val="false"/>
              <w:ind w:left="40" w:right="660" w:hanging="0"/>
              <w:rPr>
                <w:sz w:val="24"/>
                <w:szCs w:val="24"/>
              </w:rPr>
            </w:pPr>
            <w:r>
              <w:rPr>
                <w:sz w:val="24"/>
                <w:szCs w:val="24"/>
              </w:rPr>
              <w:t xml:space="preserve">ИНН/ КПП 6345012488 / 190243001, </w:t>
            </w:r>
          </w:p>
          <w:p>
            <w:pPr>
              <w:pStyle w:val="Normal"/>
              <w:widowControl w:val="false"/>
              <w:ind w:left="40" w:right="660" w:hanging="0"/>
              <w:rPr>
                <w:sz w:val="24"/>
                <w:szCs w:val="24"/>
              </w:rPr>
            </w:pPr>
            <w:r>
              <w:rPr>
                <w:sz w:val="24"/>
                <w:szCs w:val="24"/>
              </w:rPr>
              <w:t xml:space="preserve">Адрес: 655619, Республика Хакасия, г. Саяногорск, рп. Черемушки, д. 103, </w:t>
            </w:r>
          </w:p>
          <w:p>
            <w:pPr>
              <w:pStyle w:val="Normal"/>
              <w:widowControl w:val="false"/>
              <w:ind w:left="40" w:right="660" w:hanging="0"/>
              <w:rPr>
                <w:sz w:val="24"/>
                <w:szCs w:val="24"/>
              </w:rPr>
            </w:pPr>
            <w:r>
              <w:rPr>
                <w:sz w:val="24"/>
                <w:szCs w:val="24"/>
              </w:rPr>
              <w:t>тел. 8 (39042) 7-17-01</w:t>
            </w:r>
          </w:p>
          <w:p>
            <w:pPr>
              <w:pStyle w:val="Normal"/>
              <w:widowControl w:val="false"/>
              <w:ind w:left="40" w:right="660" w:hanging="0"/>
              <w:rPr>
                <w:sz w:val="24"/>
                <w:szCs w:val="24"/>
              </w:rPr>
            </w:pPr>
            <w:r>
              <w:rPr>
                <w:sz w:val="24"/>
                <w:szCs w:val="24"/>
              </w:rPr>
              <w:t>Р/с 40702810800000203710</w:t>
            </w:r>
          </w:p>
          <w:p>
            <w:pPr>
              <w:pStyle w:val="Normal"/>
              <w:widowControl w:val="false"/>
              <w:ind w:left="40" w:right="660" w:hanging="0"/>
              <w:rPr>
                <w:sz w:val="24"/>
                <w:szCs w:val="24"/>
              </w:rPr>
            </w:pPr>
            <w:r>
              <w:rPr>
                <w:sz w:val="24"/>
                <w:szCs w:val="24"/>
              </w:rPr>
              <w:t>Банк ГПБ (АО), г. Москва</w:t>
            </w:r>
          </w:p>
          <w:p>
            <w:pPr>
              <w:pStyle w:val="Normal"/>
              <w:widowControl w:val="false"/>
              <w:ind w:left="40" w:right="660" w:hanging="0"/>
              <w:rPr>
                <w:sz w:val="24"/>
                <w:szCs w:val="24"/>
              </w:rPr>
            </w:pPr>
            <w:r>
              <w:rPr>
                <w:sz w:val="24"/>
                <w:szCs w:val="24"/>
              </w:rPr>
              <w:t>К/с 30101810200000000823</w:t>
            </w:r>
          </w:p>
          <w:p>
            <w:pPr>
              <w:pStyle w:val="Normal"/>
              <w:widowControl w:val="false"/>
              <w:ind w:left="40" w:right="660" w:hanging="0"/>
              <w:rPr>
                <w:sz w:val="24"/>
                <w:szCs w:val="24"/>
              </w:rPr>
            </w:pPr>
            <w:r>
              <w:rPr>
                <w:sz w:val="24"/>
                <w:szCs w:val="24"/>
              </w:rPr>
              <w:t>БИК 044525823</w:t>
            </w:r>
          </w:p>
          <w:p>
            <w:pPr>
              <w:pStyle w:val="Normal"/>
              <w:widowControl w:val="false"/>
              <w:ind w:left="40" w:right="660" w:hanging="0"/>
              <w:rPr>
                <w:sz w:val="24"/>
                <w:szCs w:val="24"/>
              </w:rPr>
            </w:pPr>
            <w:r>
              <w:rPr>
                <w:sz w:val="24"/>
                <w:szCs w:val="24"/>
              </w:rPr>
              <w:t>Тел. приемной: 8 (39042) 7-17-01</w:t>
            </w:r>
          </w:p>
          <w:p>
            <w:pPr>
              <w:pStyle w:val="Normal"/>
              <w:widowControl w:val="false"/>
              <w:ind w:left="40" w:right="660" w:hanging="0"/>
              <w:rPr>
                <w:color w:val="000000"/>
                <w:lang w:bidi="ru-RU"/>
              </w:rPr>
            </w:pPr>
            <w:r>
              <w:rPr>
                <w:sz w:val="24"/>
                <w:szCs w:val="24"/>
              </w:rPr>
              <w:t>E-mail: sayany@rushydro.ru</w:t>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r>
          </w:p>
          <w:p>
            <w:pPr>
              <w:pStyle w:val="Normal"/>
              <w:widowControl w:val="false"/>
              <w:rPr>
                <w:color w:val="000000"/>
              </w:rPr>
            </w:pPr>
            <w:r>
              <w:rPr>
                <w:sz w:val="22"/>
                <w:szCs w:val="22"/>
              </w:rPr>
              <w:t xml:space="preserve"> </w:t>
            </w:r>
          </w:p>
          <w:p>
            <w:pPr>
              <w:pStyle w:val="Style23"/>
              <w:widowControl w:val="false"/>
              <w:spacing w:before="0" w:after="0"/>
              <w:rPr>
                <w:color w:val="000000"/>
                <w:sz w:val="20"/>
                <w:szCs w:val="20"/>
              </w:rPr>
            </w:pPr>
            <w:r>
              <w:rPr>
                <w:color w:val="000000"/>
                <w:sz w:val="20"/>
                <w:szCs w:val="20"/>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Cs/>
                <w:sz w:val="24"/>
                <w:szCs w:val="24"/>
              </w:rPr>
              <w:t xml:space="preserve">    </w:t>
            </w:r>
          </w:p>
          <w:p>
            <w:pPr>
              <w:pStyle w:val="Normal"/>
              <w:widowControl w:val="false"/>
              <w:rPr>
                <w:sz w:val="22"/>
                <w:szCs w:val="22"/>
              </w:rPr>
            </w:pPr>
            <w:r>
              <w:rPr>
                <w:sz w:val="22"/>
                <w:szCs w:val="22"/>
              </w:rPr>
            </w:r>
          </w:p>
        </w:tc>
      </w:tr>
      <w:tr>
        <w:trPr/>
        <w:tc>
          <w:tcPr>
            <w:tcW w:w="4927"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w:t>
            </w:r>
            <w:r>
              <w:rPr>
                <w:sz w:val="22"/>
                <w:szCs w:val="22"/>
                <w:lang w:val="en-US"/>
              </w:rPr>
              <w:t>__________________</w:t>
            </w:r>
            <w:r>
              <w:rPr>
                <w:sz w:val="22"/>
                <w:szCs w:val="22"/>
              </w:rPr>
              <w:t>/</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/____________/</w:t>
            </w:r>
          </w:p>
          <w:p>
            <w:pPr>
              <w:pStyle w:val="Normal"/>
              <w:widowControl w:val="false"/>
              <w:rPr>
                <w:sz w:val="22"/>
                <w:szCs w:val="22"/>
              </w:rPr>
            </w:pPr>
            <w:r>
              <w:rPr>
                <w:sz w:val="22"/>
                <w:szCs w:val="22"/>
              </w:rPr>
              <w:t>м.п.</w:t>
            </w:r>
          </w:p>
        </w:tc>
      </w:tr>
    </w:tbl>
    <w:p>
      <w:pPr>
        <w:sectPr>
          <w:footerReference w:type="even" r:id="rId5"/>
          <w:footerReference w:type="default" r:id="rId6"/>
          <w:footerReference w:type="first" r:id="rId7"/>
          <w:footnotePr>
            <w:numFmt w:val="decimal"/>
          </w:footnotePr>
          <w:type w:val="nextPage"/>
          <w:pgSz w:w="11906" w:h="16838"/>
          <w:pgMar w:left="1701" w:right="849" w:gutter="0" w:header="0" w:top="1134" w:footer="720" w:bottom="1134"/>
          <w:pgNumType w:fmt="decimal"/>
          <w:formProt w:val="false"/>
          <w:textDirection w:val="lrTb"/>
          <w:docGrid w:type="default" w:linePitch="100" w:charSpace="8192"/>
        </w:sectPr>
        <w:pStyle w:val="BodyText"/>
        <w:spacing w:before="120" w:after="0"/>
        <w:ind w:firstLine="567"/>
        <w:jc w:val="right"/>
        <w:rPr>
          <w:b/>
          <w:bCs/>
          <w:color w:val="000000"/>
          <w:sz w:val="24"/>
          <w:szCs w:val="24"/>
        </w:rPr>
      </w:pPr>
      <w:r>
        <w:rPr>
          <w:b/>
          <w:bCs/>
          <w:color w:val="000000"/>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к договору поставки</w:t>
      </w:r>
    </w:p>
    <w:p>
      <w:pPr>
        <w:pStyle w:val="BodyText"/>
        <w:spacing w:before="0"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pPr>
        <w:pStyle w:val="Normal"/>
        <w:numPr>
          <w:ilvl w:val="0"/>
          <w:numId w:val="0"/>
        </w:numPr>
        <w:spacing w:before="0" w:after="120"/>
        <w:ind w:firstLine="567"/>
        <w:jc w:val="center"/>
        <w:outlineLvl w:val="0"/>
        <w:rPr>
          <w:b/>
          <w:sz w:val="24"/>
          <w:szCs w:val="24"/>
        </w:rPr>
      </w:pPr>
      <w:r>
        <w:rPr>
          <w:b/>
          <w:sz w:val="24"/>
          <w:szCs w:val="24"/>
        </w:rPr>
      </w:r>
    </w:p>
    <w:p>
      <w:pPr>
        <w:pStyle w:val="Normal"/>
        <w:numPr>
          <w:ilvl w:val="0"/>
          <w:numId w:val="0"/>
        </w:numPr>
        <w:spacing w:before="0" w:after="120"/>
        <w:ind w:firstLine="567"/>
        <w:jc w:val="center"/>
        <w:outlineLvl w:val="0"/>
        <w:rPr>
          <w:b/>
          <w:sz w:val="24"/>
          <w:szCs w:val="24"/>
        </w:rPr>
      </w:pPr>
      <w:r>
        <w:rPr>
          <w:b/>
          <w:sz w:val="24"/>
          <w:szCs w:val="24"/>
        </w:rPr>
        <w:t>Спецификация №1</w:t>
      </w:r>
    </w:p>
    <w:tbl>
      <w:tblPr>
        <w:tblW w:w="1033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8"/>
        <w:gridCol w:w="2406"/>
        <w:gridCol w:w="1481"/>
        <w:gridCol w:w="1084"/>
        <w:gridCol w:w="1177"/>
        <w:gridCol w:w="665"/>
        <w:gridCol w:w="693"/>
        <w:gridCol w:w="1091"/>
        <w:gridCol w:w="1276"/>
      </w:tblGrid>
      <w:tr>
        <w:trPr>
          <w:trHeight w:val="20"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 xml:space="preserve">№ </w:t>
            </w:r>
            <w:r>
              <w:rPr>
                <w:color w:val="000000"/>
              </w:rPr>
              <w:t>п/п</w:t>
            </w:r>
          </w:p>
        </w:tc>
        <w:tc>
          <w:tcPr>
            <w:tcW w:w="24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Наименование продукции</w:t>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Тип, марка, артикул</w:t>
            </w:r>
          </w:p>
        </w:tc>
        <w:tc>
          <w:tcPr>
            <w:tcW w:w="10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 xml:space="preserve"> </w:t>
            </w:r>
            <w:r>
              <w:rPr>
                <w:color w:val="000000"/>
              </w:rPr>
              <w:t>ГОСТ/ТУ</w:t>
            </w:r>
          </w:p>
        </w:tc>
        <w:tc>
          <w:tcPr>
            <w:tcW w:w="11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bCs/>
              </w:rPr>
              <w:t>Страна происхождения товара**/</w:t>
            </w:r>
            <w:r>
              <w:rPr/>
              <w:t xml:space="preserve"> Наименование производителя</w:t>
            </w:r>
          </w:p>
        </w:tc>
        <w:tc>
          <w:tcPr>
            <w:tcW w:w="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Ед. изм.</w:t>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rPr>
            </w:pPr>
            <w:r>
              <w:rPr>
                <w:color w:val="000000"/>
              </w:rPr>
              <w:t>Кол-во</w:t>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color w:val="000000"/>
              </w:rPr>
            </w:pPr>
            <w:r>
              <w:rPr>
                <w:bCs/>
              </w:rPr>
              <w:t>Цена  за единицу (руб., без НДС)</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color w:val="000000"/>
              </w:rPr>
            </w:pPr>
            <w:r>
              <w:rPr>
                <w:bCs/>
              </w:rPr>
              <w:t>Сумма (руб., без НДС)</w:t>
            </w:r>
          </w:p>
        </w:tc>
      </w:tr>
      <w:tr>
        <w:trPr>
          <w:trHeight w:val="20"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4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8" w:right="-102" w:hanging="0"/>
              <w:rPr/>
            </w:pPr>
            <w:r>
              <w:rPr/>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78" w:right="-102" w:hanging="0"/>
              <w:rPr>
                <w:color w:val="000000"/>
              </w:rPr>
            </w:pPr>
            <w:r>
              <w:rPr>
                <w:color w:val="000000"/>
              </w:rPr>
            </w:r>
          </w:p>
        </w:tc>
        <w:tc>
          <w:tcPr>
            <w:tcW w:w="10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7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109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12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r>
        <w:trPr>
          <w:trHeight w:val="20" w:hRule="atLeast"/>
        </w:trPr>
        <w:tc>
          <w:tcPr>
            <w:tcW w:w="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24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8" w:right="-102" w:hanging="0"/>
              <w:rPr/>
            </w:pPr>
            <w:r>
              <w:rPr/>
            </w:r>
          </w:p>
        </w:tc>
        <w:tc>
          <w:tcPr>
            <w:tcW w:w="14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78" w:right="-102" w:hanging="0"/>
              <w:rPr>
                <w:color w:val="000000"/>
              </w:rPr>
            </w:pPr>
            <w:r>
              <w:rPr>
                <w:color w:val="000000"/>
              </w:rPr>
            </w:r>
          </w:p>
        </w:tc>
        <w:tc>
          <w:tcPr>
            <w:tcW w:w="10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
          </w:p>
        </w:tc>
        <w:tc>
          <w:tcPr>
            <w:tcW w:w="1177"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6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r>
          </w:p>
        </w:tc>
        <w:tc>
          <w:tcPr>
            <w:tcW w:w="109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c>
          <w:tcPr>
            <w:tcW w:w="12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center"/>
              <w:rPr>
                <w:color w:val="000000"/>
              </w:rPr>
            </w:pPr>
            <w:r>
              <w:rPr>
                <w:color w:val="000000"/>
              </w:rPr>
            </w:r>
          </w:p>
        </w:tc>
      </w:tr>
      <w:tr>
        <w:trPr>
          <w:trHeight w:val="20" w:hRule="atLeast"/>
        </w:trPr>
        <w:tc>
          <w:tcPr>
            <w:tcW w:w="9055"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right"/>
              <w:rPr>
                <w:color w:val="000000"/>
              </w:rPr>
            </w:pPr>
            <w:r>
              <w:rPr>
                <w:b/>
              </w:rPr>
              <w:t>ИТОГО без НДС, руб.</w:t>
            </w:r>
          </w:p>
        </w:tc>
        <w:tc>
          <w:tcPr>
            <w:tcW w:w="12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right"/>
              <w:rPr>
                <w:b/>
                <w:color w:val="000000"/>
              </w:rPr>
            </w:pPr>
            <w:r>
              <w:rPr>
                <w:b/>
                <w:color w:val="000000"/>
              </w:rPr>
            </w:r>
          </w:p>
        </w:tc>
      </w:tr>
      <w:tr>
        <w:trPr>
          <w:trHeight w:val="20" w:hRule="atLeast"/>
        </w:trPr>
        <w:tc>
          <w:tcPr>
            <w:tcW w:w="9055"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right"/>
              <w:rPr>
                <w:color w:val="000000"/>
              </w:rPr>
            </w:pPr>
            <w:r>
              <w:rPr>
                <w:b/>
              </w:rPr>
              <w:t>НДС (20%), руб.</w:t>
            </w:r>
          </w:p>
        </w:tc>
        <w:tc>
          <w:tcPr>
            <w:tcW w:w="12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right"/>
              <w:rPr>
                <w:b/>
                <w:color w:val="000000"/>
              </w:rPr>
            </w:pPr>
            <w:r>
              <w:rPr>
                <w:b/>
                <w:color w:val="000000"/>
              </w:rPr>
            </w:r>
          </w:p>
        </w:tc>
      </w:tr>
      <w:tr>
        <w:trPr>
          <w:trHeight w:val="20" w:hRule="atLeast"/>
        </w:trPr>
        <w:tc>
          <w:tcPr>
            <w:tcW w:w="9055" w:type="dxa"/>
            <w:gridSpan w:val="8"/>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right"/>
              <w:rPr>
                <w:color w:val="000000"/>
              </w:rPr>
            </w:pPr>
            <w:r>
              <w:rPr>
                <w:b/>
              </w:rPr>
              <w:t>ИТОГО с учетом НДС, руб.</w:t>
            </w:r>
          </w:p>
        </w:tc>
        <w:tc>
          <w:tcPr>
            <w:tcW w:w="1276"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widowControl w:val="false"/>
              <w:jc w:val="right"/>
              <w:rPr>
                <w:b/>
                <w:color w:val="000000"/>
              </w:rPr>
            </w:pPr>
            <w:r>
              <w:rPr>
                <w:b/>
                <w:color w:val="000000"/>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8"/>
        </w:numPr>
        <w:spacing w:before="0" w:after="120"/>
        <w:jc w:val="both"/>
        <w:rPr>
          <w:sz w:val="24"/>
          <w:szCs w:val="24"/>
        </w:rPr>
      </w:pPr>
      <w:r>
        <w:rPr>
          <w:bCs/>
          <w:sz w:val="24"/>
          <w:szCs w:val="24"/>
        </w:rPr>
        <w:t>Общая сумма Спецификации составляет ______ (________________) рубля 00 копеек без учета НДС, при этом НДС исчисляется дополнительно по ставке, установленной статьей 164 Налогового кодекса РФ (далее-НК РФ).</w:t>
      </w:r>
    </w:p>
    <w:p>
      <w:pPr>
        <w:pStyle w:val="Normal"/>
        <w:widowControl w:val="false"/>
        <w:numPr>
          <w:ilvl w:val="0"/>
          <w:numId w:val="8"/>
        </w:numPr>
        <w:spacing w:before="0" w:after="120"/>
        <w:jc w:val="both"/>
        <w:rPr>
          <w:sz w:val="24"/>
          <w:szCs w:val="24"/>
        </w:rPr>
      </w:pPr>
      <w:r>
        <w:rPr>
          <w:sz w:val="24"/>
          <w:szCs w:val="24"/>
        </w:rPr>
        <w:t xml:space="preserve">Срок поставки Продукции: </w:t>
      </w:r>
      <w:r>
        <w:rPr>
          <w:sz w:val="24"/>
          <w:szCs w:val="24"/>
          <w:lang w:val="en-US"/>
        </w:rPr>
        <w:t>________________________</w:t>
      </w:r>
      <w:r>
        <w:rPr>
          <w:sz w:val="24"/>
          <w:szCs w:val="24"/>
        </w:rPr>
        <w:t>.</w:t>
      </w:r>
    </w:p>
    <w:p>
      <w:pPr>
        <w:pStyle w:val="ListParagraph"/>
        <w:numPr>
          <w:ilvl w:val="0"/>
          <w:numId w:val="8"/>
        </w:numPr>
        <w:tabs>
          <w:tab w:val="clear" w:pos="720"/>
          <w:tab w:val="left" w:pos="426" w:leader="none"/>
        </w:tabs>
        <w:ind w:left="0" w:firstLine="284"/>
        <w:rPr>
          <w:sz w:val="24"/>
          <w:szCs w:val="24"/>
        </w:rPr>
      </w:pPr>
      <w:r>
        <w:rPr>
          <w:sz w:val="24"/>
          <w:szCs w:val="24"/>
        </w:rPr>
        <w:t>Иные условия, предусмотренные техническими требованиями:</w:t>
      </w:r>
      <w:r>
        <w:rPr/>
        <w:t xml:space="preserve"> </w:t>
      </w:r>
      <w:r>
        <w:rPr>
          <w:sz w:val="24"/>
          <w:szCs w:val="24"/>
        </w:rPr>
        <w:t>в полном соответствии с ТТ (Приложение № 2).</w:t>
      </w:r>
    </w:p>
    <w:p>
      <w:pPr>
        <w:pStyle w:val="Normal"/>
        <w:spacing w:before="0" w:after="120"/>
        <w:jc w:val="both"/>
        <w:rPr>
          <w:i/>
          <w:i/>
          <w:sz w:val="24"/>
          <w:szCs w:val="24"/>
          <w:highlight w:val="cyan"/>
        </w:rPr>
      </w:pPr>
      <w:r>
        <w:rPr>
          <w:i/>
          <w:sz w:val="24"/>
          <w:szCs w:val="24"/>
          <w:highlight w:val="cyan"/>
        </w:rPr>
      </w:r>
    </w:p>
    <w:tbl>
      <w:tblPr>
        <w:tblpPr w:vertAnchor="text" w:horzAnchor="margin" w:leftFromText="180" w:rightFromText="180" w:tblpX="284" w:tblpY="225"/>
        <w:tblW w:w="9322"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536"/>
        <w:gridCol w:w="4785"/>
      </w:tblGrid>
      <w:tr>
        <w:trPr/>
        <w:tc>
          <w:tcPr>
            <w:tcW w:w="4536" w:type="dxa"/>
            <w:tcBorders/>
            <w:shd w:color="auto" w:fill="FFFFFF" w:themeFill="background1" w:val="clear"/>
          </w:tcPr>
          <w:p>
            <w:pPr>
              <w:pStyle w:val="Style20"/>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20"/>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r>
          </w:p>
        </w:tc>
        <w:tc>
          <w:tcPr>
            <w:tcW w:w="4785" w:type="dxa"/>
            <w:tcBorders/>
            <w:shd w:color="auto" w:fill="FFFFFF" w:themeFill="background1" w:val="clear"/>
          </w:tcPr>
          <w:p>
            <w:pPr>
              <w:pStyle w:val="Style20"/>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20"/>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536" w:type="dxa"/>
            <w:tcBorders/>
            <w:shd w:color="auto" w:fill="FFFFFF" w:themeFill="background1" w:val="clear"/>
          </w:tcPr>
          <w:p>
            <w:pPr>
              <w:pStyle w:val="Style20"/>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w:t>
            </w:r>
            <w:r>
              <w:rPr>
                <w:rFonts w:ascii="Times New Roman" w:hAnsi="Times New Roman"/>
                <w:sz w:val="24"/>
                <w:szCs w:val="24"/>
              </w:rPr>
              <w:t>______________</w:t>
            </w:r>
            <w:r>
              <w:rPr>
                <w:rFonts w:ascii="Times New Roman" w:hAnsi="Times New Roman"/>
                <w:sz w:val="24"/>
                <w:szCs w:val="24"/>
                <w:lang w:val="ru-RU"/>
              </w:rPr>
              <w:t xml:space="preserve"> /</w:t>
            </w:r>
          </w:p>
          <w:p>
            <w:pPr>
              <w:pStyle w:val="Style20"/>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20"/>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 /_______________/</w:t>
            </w:r>
          </w:p>
          <w:p>
            <w:pPr>
              <w:pStyle w:val="Style20"/>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sectPr>
          <w:headerReference w:type="default" r:id="rId8"/>
          <w:footerReference w:type="even" r:id="rId9"/>
          <w:footerReference w:type="default" r:id="rId10"/>
          <w:footerReference w:type="first" r:id="rId11"/>
          <w:footnotePr>
            <w:numFmt w:val="decimal"/>
          </w:footnotePr>
          <w:type w:val="nextPage"/>
          <w:pgSz w:w="11906" w:h="16838"/>
          <w:pgMar w:left="1134" w:right="709" w:gutter="0" w:header="720" w:top="851" w:footer="720" w:bottom="1134"/>
          <w:pgNumType w:fmt="decimal"/>
          <w:formProt w:val="false"/>
          <w:textDirection w:val="lrTb"/>
          <w:docGrid w:type="default" w:linePitch="100" w:charSpace="8192"/>
        </w:sectPr>
        <w:pStyle w:val="Normal"/>
        <w:spacing w:before="0" w:after="120"/>
        <w:rPr>
          <w:sz w:val="22"/>
          <w:szCs w:val="22"/>
        </w:rPr>
      </w:pPr>
      <w:r>
        <w:rPr>
          <w:sz w:val="22"/>
          <w:szCs w:val="22"/>
        </w:rPr>
      </w:r>
      <w:r>
        <w:br w:type="page"/>
      </w:r>
    </w:p>
    <w:p>
      <w:pPr>
        <w:pStyle w:val="BodyText"/>
        <w:numPr>
          <w:ilvl w:val="0"/>
          <w:numId w:val="0"/>
        </w:numPr>
        <w:spacing w:before="0" w:after="120"/>
        <w:ind w:firstLine="567"/>
        <w:jc w:val="right"/>
        <w:outlineLvl w:val="0"/>
        <w:rPr>
          <w:b/>
          <w:bCs/>
          <w:sz w:val="24"/>
          <w:szCs w:val="24"/>
          <w:highlight w:val="yellow"/>
        </w:rPr>
      </w:pPr>
      <w:r>
        <w:rPr>
          <w:b/>
          <w:bCs/>
          <w:sz w:val="24"/>
          <w:szCs w:val="24"/>
          <w:highlight w:val="yellow"/>
        </w:rPr>
        <w:t>Приложение № 2</w:t>
      </w:r>
    </w:p>
    <w:p>
      <w:pPr>
        <w:pStyle w:val="BodyText"/>
        <w:spacing w:before="0" w:after="120"/>
        <w:ind w:firstLine="567"/>
        <w:jc w:val="right"/>
        <w:rPr>
          <w:bCs/>
          <w:sz w:val="24"/>
          <w:szCs w:val="24"/>
          <w:highlight w:val="yellow"/>
        </w:rPr>
      </w:pPr>
      <w:r>
        <w:rPr>
          <w:bCs/>
          <w:sz w:val="24"/>
          <w:szCs w:val="24"/>
          <w:highlight w:val="yellow"/>
        </w:rPr>
        <w:t xml:space="preserve">к договору поставки </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spacing w:before="0" w:after="120"/>
        <w:ind w:firstLine="567"/>
        <w:jc w:val="right"/>
        <w:rPr>
          <w:bCs/>
          <w:sz w:val="24"/>
          <w:szCs w:val="24"/>
          <w:highlight w:val="yellow"/>
        </w:rPr>
      </w:pPr>
      <w:r>
        <w:rPr>
          <w:bCs/>
          <w:sz w:val="24"/>
          <w:szCs w:val="24"/>
          <w:highlight w:val="yellow"/>
        </w:rPr>
      </w:r>
    </w:p>
    <w:p>
      <w:pPr>
        <w:pStyle w:val="BodyText"/>
        <w:spacing w:before="0" w:after="120"/>
        <w:ind w:firstLine="567"/>
        <w:jc w:val="center"/>
        <w:rPr>
          <w:b/>
          <w:bCs/>
          <w:sz w:val="24"/>
          <w:szCs w:val="24"/>
        </w:rPr>
      </w:pPr>
      <w:r>
        <w:rPr>
          <w:b/>
          <w:bCs/>
          <w:sz w:val="24"/>
          <w:szCs w:val="24"/>
        </w:rPr>
        <w:t>ТЕХНИЧЕСКИЕ ТРЕБОВАНИЯ</w:t>
      </w:r>
    </w:p>
    <w:p>
      <w:pPr>
        <w:pStyle w:val="BodyText"/>
        <w:numPr>
          <w:ilvl w:val="0"/>
          <w:numId w:val="0"/>
        </w:numPr>
        <w:spacing w:before="0" w:after="120"/>
        <w:ind w:firstLine="567"/>
        <w:jc w:val="right"/>
        <w:outlineLvl w:val="0"/>
        <w:rPr>
          <w:b/>
          <w:bCs/>
          <w:sz w:val="24"/>
          <w:szCs w:val="24"/>
        </w:rPr>
      </w:pPr>
      <w:r>
        <w:rPr>
          <w:b/>
          <w:bCs/>
          <w:sz w:val="24"/>
          <w:szCs w:val="24"/>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
                <w:bCs/>
                <w:sz w:val="24"/>
                <w:szCs w:val="28"/>
                <w:u w:val="single"/>
              </w:rPr>
            </w:pPr>
            <w:r>
              <w:rPr>
                <w:b/>
                <w:bCs/>
                <w:sz w:val="24"/>
                <w:szCs w:val="28"/>
                <w:u w:val="single"/>
              </w:rPr>
              <w:t>Покупатель</w:t>
            </w:r>
            <w:r>
              <w:rPr>
                <w:b/>
                <w:bCs/>
                <w:sz w:val="24"/>
                <w:szCs w:val="28"/>
                <w:u w:val="single"/>
                <w:lang w:val="en-US"/>
              </w:rPr>
              <w:t>:</w:t>
            </w:r>
          </w:p>
          <w:p>
            <w:pPr>
              <w:pStyle w:val="Normal"/>
              <w:widowControl w:val="false"/>
              <w:shd w:val="clear" w:color="auto" w:fill="FFFFFF"/>
              <w:tabs>
                <w:tab w:val="clear" w:pos="720"/>
                <w:tab w:val="left" w:pos="709" w:leader="none"/>
              </w:tabs>
              <w:spacing w:before="0" w:after="120"/>
              <w:jc w:val="both"/>
              <w:rPr>
                <w:b/>
                <w:bCs/>
                <w:sz w:val="24"/>
                <w:szCs w:val="28"/>
                <w:u w:val="single"/>
              </w:rPr>
            </w:pPr>
            <w:r>
              <w:rPr>
                <w:b/>
                <w:bCs/>
                <w:sz w:val="24"/>
                <w:szCs w:val="28"/>
                <w:u w:val="single"/>
              </w:rPr>
            </w:r>
          </w:p>
        </w:tc>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
                <w:bCs/>
                <w:sz w:val="24"/>
                <w:szCs w:val="28"/>
                <w:u w:val="single"/>
              </w:rPr>
            </w:pPr>
            <w:r>
              <w:rPr>
                <w:b/>
                <w:bCs/>
                <w:sz w:val="24"/>
                <w:szCs w:val="28"/>
                <w:u w:val="single"/>
              </w:rPr>
              <w:t>Поставщик</w:t>
            </w:r>
            <w:r>
              <w:rPr>
                <w:b/>
                <w:bCs/>
                <w:sz w:val="24"/>
                <w:szCs w:val="28"/>
                <w:u w:val="single"/>
                <w:lang w:val="en-US"/>
              </w:rPr>
              <w:t>:</w:t>
            </w:r>
          </w:p>
          <w:p>
            <w:pPr>
              <w:pStyle w:val="Normal"/>
              <w:widowControl w:val="false"/>
              <w:shd w:val="clear" w:color="auto" w:fill="FFFFFF"/>
              <w:tabs>
                <w:tab w:val="clear" w:pos="720"/>
                <w:tab w:val="left" w:pos="709" w:leader="none"/>
              </w:tabs>
              <w:spacing w:before="0" w:after="120"/>
              <w:jc w:val="both"/>
              <w:rPr>
                <w:bCs/>
                <w:sz w:val="24"/>
                <w:szCs w:val="28"/>
                <w:u w:val="single"/>
              </w:rPr>
            </w:pPr>
            <w:r>
              <w:rPr>
                <w:bCs/>
                <w:sz w:val="24"/>
                <w:szCs w:val="28"/>
                <w:u w:val="single"/>
              </w:rPr>
            </w:r>
          </w:p>
        </w:tc>
      </w:tr>
      <w:tr>
        <w:trPr/>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 xml:space="preserve">_______________ / </w:t>
            </w:r>
            <w:r>
              <w:rPr>
                <w:bCs/>
                <w:sz w:val="24"/>
                <w:szCs w:val="28"/>
                <w:lang w:val="en-US"/>
              </w:rPr>
              <w:t>______________</w:t>
            </w:r>
            <w:r>
              <w:rPr>
                <w:bCs/>
                <w:sz w:val="24"/>
                <w:szCs w:val="28"/>
              </w:rPr>
              <w:t>/</w:t>
            </w:r>
          </w:p>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м.п.</w:t>
            </w:r>
          </w:p>
        </w:tc>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_____________ /________________ /</w:t>
            </w:r>
          </w:p>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м.п.</w:t>
            </w:r>
          </w:p>
        </w:tc>
      </w:tr>
    </w:tbl>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r>
    </w:p>
    <w:p>
      <w:pPr>
        <w:pStyle w:val="BodyText"/>
        <w:numPr>
          <w:ilvl w:val="0"/>
          <w:numId w:val="0"/>
        </w:numPr>
        <w:spacing w:before="0" w:after="120"/>
        <w:ind w:firstLine="567"/>
        <w:jc w:val="right"/>
        <w:outlineLvl w:val="0"/>
        <w:rPr>
          <w:b/>
          <w:bCs/>
          <w:sz w:val="24"/>
          <w:szCs w:val="24"/>
        </w:rPr>
      </w:pPr>
      <w:r>
        <w:rPr>
          <w:b/>
          <w:bCs/>
          <w:sz w:val="24"/>
          <w:szCs w:val="24"/>
        </w:rPr>
        <w:t>Приложение № 3</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highlight w:val="yellow"/>
        </w:rPr>
      </w:pPr>
      <w:r>
        <w:rPr>
          <w:bCs/>
          <w:sz w:val="24"/>
          <w:szCs w:val="24"/>
          <w:highlight w:val="yellow"/>
        </w:rPr>
        <w:t xml:space="preserve">№ </w:t>
      </w:r>
      <w:r>
        <w:rPr>
          <w:bCs/>
          <w:sz w:val="24"/>
          <w:szCs w:val="24"/>
          <w:highlight w:val="yellow"/>
        </w:rPr>
        <w:t>_____от «___» _________ ______ г.</w:t>
      </w:r>
    </w:p>
    <w:p>
      <w:pPr>
        <w:pStyle w:val="BodyText"/>
        <w:numPr>
          <w:ilvl w:val="0"/>
          <w:numId w:val="0"/>
        </w:numPr>
        <w:spacing w:before="0" w:after="120"/>
        <w:outlineLvl w:val="0"/>
        <w:rPr>
          <w:b/>
          <w:bCs/>
          <w:sz w:val="24"/>
          <w:szCs w:val="24"/>
        </w:rPr>
      </w:pPr>
      <w:r>
        <w:rPr>
          <w:b/>
          <w:bCs/>
          <w:sz w:val="24"/>
          <w:szCs w:val="24"/>
        </w:rPr>
      </w:r>
    </w:p>
    <w:p>
      <w:pPr>
        <w:pStyle w:val="Normal"/>
        <w:widowControl w:val="false"/>
        <w:shd w:val="clear" w:color="auto" w:fill="FFFFFF"/>
        <w:tabs>
          <w:tab w:val="clear" w:pos="720"/>
          <w:tab w:val="left" w:pos="3054" w:leader="none"/>
        </w:tabs>
        <w:spacing w:before="0" w:after="120"/>
        <w:jc w:val="center"/>
        <w:rPr>
          <w:b/>
          <w:sz w:val="24"/>
          <w:szCs w:val="24"/>
        </w:rPr>
      </w:pPr>
      <w:r>
        <w:rPr>
          <w:b/>
          <w:sz w:val="24"/>
          <w:szCs w:val="24"/>
        </w:rPr>
        <w:t>Финансовое обеспечение исполнения обязательств</w:t>
      </w:r>
    </w:p>
    <w:p>
      <w:pPr>
        <w:pStyle w:val="Normal"/>
        <w:keepNext w:val="true"/>
        <w:numPr>
          <w:ilvl w:val="0"/>
          <w:numId w:val="23"/>
        </w:numPr>
        <w:spacing w:before="240" w:after="60"/>
        <w:jc w:val="center"/>
        <w:outlineLvl w:val="0"/>
        <w:rPr>
          <w:bCs/>
          <w:kern w:val="2"/>
          <w:sz w:val="24"/>
          <w:szCs w:val="24"/>
        </w:rPr>
      </w:pPr>
      <w:bookmarkStart w:id="5" w:name="_Toc122678950"/>
      <w:r>
        <w:rPr>
          <w:bCs/>
          <w:kern w:val="2"/>
          <w:sz w:val="24"/>
          <w:szCs w:val="24"/>
        </w:rPr>
        <w:t>Критерии отбора Банков-гарантов</w:t>
      </w:r>
      <w:r>
        <w:rPr>
          <w:rStyle w:val="FootnoteReference"/>
          <w:bCs/>
          <w:kern w:val="2"/>
          <w:sz w:val="24"/>
          <w:szCs w:val="24"/>
          <w:vertAlign w:val="superscript"/>
        </w:rPr>
        <w:footnoteReference w:id="3"/>
      </w:r>
      <w:bookmarkEnd w:id="5"/>
    </w:p>
    <w:p>
      <w:pPr>
        <w:pStyle w:val="Normal"/>
        <w:ind w:left="709" w:hanging="0"/>
        <w:rPr>
          <w:b/>
          <w:sz w:val="24"/>
          <w:szCs w:val="24"/>
        </w:rPr>
      </w:pPr>
      <w:r>
        <w:rPr>
          <w:b/>
          <w:sz w:val="24"/>
          <w:szCs w:val="24"/>
        </w:rPr>
      </w:r>
    </w:p>
    <w:p>
      <w:pPr>
        <w:pStyle w:val="Normal"/>
        <w:tabs>
          <w:tab w:val="clear" w:pos="720"/>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rPr>
        <w:footnoteReference w:id="4"/>
      </w:r>
      <w:r>
        <w:rPr>
          <w:sz w:val="24"/>
          <w:szCs w:val="24"/>
        </w:rPr>
        <w:t>, а также соответствовать следующим критериям:</w:t>
      </w:r>
    </w:p>
    <w:p>
      <w:pPr>
        <w:pStyle w:val="Normal"/>
        <w:numPr>
          <w:ilvl w:val="1"/>
          <w:numId w:val="20"/>
        </w:numPr>
        <w:tabs>
          <w:tab w:val="clear" w:pos="720"/>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20"/>
        </w:numPr>
        <w:tabs>
          <w:tab w:val="clear" w:pos="720"/>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0"/>
        </w:numPr>
        <w:tabs>
          <w:tab w:val="clear" w:pos="720"/>
          <w:tab w:val="left" w:pos="1134" w:leader="none"/>
        </w:tabs>
        <w:ind w:left="0" w:firstLine="710"/>
        <w:jc w:val="both"/>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20"/>
        </w:numPr>
        <w:tabs>
          <w:tab w:val="clear" w:pos="720"/>
          <w:tab w:val="left" w:pos="1134" w:leader="none"/>
        </w:tabs>
        <w:ind w:left="0" w:firstLine="710"/>
        <w:jc w:val="both"/>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vertAlign w:val="superscript"/>
        </w:rPr>
        <w:footnoteReference w:id="5"/>
      </w:r>
      <w:r>
        <w:rPr>
          <w:sz w:val="24"/>
          <w:szCs w:val="24"/>
        </w:rPr>
        <w:t xml:space="preserve">. </w:t>
      </w:r>
    </w:p>
    <w:p>
      <w:pPr>
        <w:pStyle w:val="Normal"/>
        <w:numPr>
          <w:ilvl w:val="1"/>
          <w:numId w:val="20"/>
        </w:numPr>
        <w:tabs>
          <w:tab w:val="clear" w:pos="720"/>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vertAlign w:val="superscript"/>
        </w:rPr>
        <w:footnoteReference w:id="6"/>
      </w:r>
      <w:r>
        <w:rPr>
          <w:sz w:val="24"/>
          <w:szCs w:val="24"/>
        </w:rPr>
        <w:t>.</w:t>
      </w:r>
    </w:p>
    <w:p>
      <w:pPr>
        <w:pStyle w:val="Normal"/>
        <w:numPr>
          <w:ilvl w:val="1"/>
          <w:numId w:val="20"/>
        </w:numPr>
        <w:tabs>
          <w:tab w:val="clear" w:pos="720"/>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20"/>
        </w:numPr>
        <w:tabs>
          <w:tab w:val="clear" w:pos="720"/>
          <w:tab w:val="left" w:pos="1134" w:leader="none"/>
        </w:tabs>
        <w:ind w:left="0" w:firstLine="710"/>
        <w:jc w:val="both"/>
        <w:rPr>
          <w:sz w:val="24"/>
          <w:szCs w:val="24"/>
        </w:rPr>
      </w:pPr>
      <w:r>
        <w:rPr>
          <w:sz w:val="24"/>
          <w:szCs w:val="24"/>
        </w:rPr>
        <w:t>Не иметь просроченную задолженность перед АО «Гидроремонт-ВКК» и компаниями Группы РусГидро.</w:t>
      </w:r>
    </w:p>
    <w:p>
      <w:pPr>
        <w:pStyle w:val="Normal"/>
        <w:numPr>
          <w:ilvl w:val="1"/>
          <w:numId w:val="20"/>
        </w:numPr>
        <w:tabs>
          <w:tab w:val="clear" w:pos="720"/>
          <w:tab w:val="left" w:pos="1134" w:leader="none"/>
        </w:tabs>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Id w:val="21"/>
        </w:numPr>
        <w:tabs>
          <w:tab w:val="clear" w:pos="720"/>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1"/>
        </w:numPr>
        <w:tabs>
          <w:tab w:val="clear" w:pos="720"/>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1"/>
        </w:numPr>
        <w:tabs>
          <w:tab w:val="clear" w:pos="720"/>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21"/>
        </w:numPr>
        <w:tabs>
          <w:tab w:val="clear" w:pos="720"/>
          <w:tab w:val="left" w:pos="1134" w:leader="none"/>
        </w:tabs>
        <w:ind w:left="0" w:firstLine="709"/>
        <w:jc w:val="both"/>
        <w:rPr>
          <w:sz w:val="24"/>
          <w:szCs w:val="24"/>
        </w:rPr>
      </w:pPr>
      <w:r>
        <w:rPr>
          <w:sz w:val="24"/>
          <w:szCs w:val="24"/>
        </w:rPr>
        <w:t xml:space="preserve"> </w:t>
      </w:r>
      <w:r>
        <w:rPr>
          <w:sz w:val="24"/>
          <w:szCs w:val="24"/>
        </w:rPr>
        <w:t>ВЭБ.РФ.</w:t>
      </w:r>
    </w:p>
    <w:p>
      <w:pPr>
        <w:pStyle w:val="Normal"/>
        <w:numPr>
          <w:ilvl w:val="1"/>
          <w:numId w:val="20"/>
        </w:numPr>
        <w:tabs>
          <w:tab w:val="clear" w:pos="720"/>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20"/>
          <w:tab w:val="left" w:pos="1134" w:leader="none"/>
        </w:tabs>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3"/>
        <w:gridCol w:w="8506"/>
      </w:tblGrid>
      <w:tr>
        <w:trPr>
          <w:trHeight w:val="426" w:hRule="atLeast"/>
        </w:trPr>
        <w:tc>
          <w:tcPr>
            <w:tcW w:w="817" w:type="dxa"/>
            <w:tcBorders/>
            <w:shd w:color="auto" w:fill="auto" w:val="clear"/>
          </w:tcPr>
          <w:p>
            <w:pPr>
              <w:pStyle w:val="Normal"/>
              <w:widowControl w:val="false"/>
              <w:ind w:right="-108" w:hanging="0"/>
              <w:jc w:val="both"/>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3" w:type="dxa"/>
            <w:tcBorders/>
            <w:shd w:color="auto" w:fill="auto" w:val="clear"/>
          </w:tcPr>
          <w:p>
            <w:pPr>
              <w:pStyle w:val="Normal"/>
              <w:widowControl w:val="false"/>
              <w:ind w:left="317" w:right="-108" w:hanging="317"/>
              <w:jc w:val="both"/>
              <w:rPr>
                <w:color w:val="000000"/>
                <w:sz w:val="24"/>
                <w:szCs w:val="24"/>
              </w:rPr>
            </w:pPr>
            <w:r>
              <w:rPr>
                <w:sz w:val="24"/>
                <w:szCs w:val="24"/>
              </w:rPr>
              <w:t xml:space="preserve">-  </w:t>
            </w:r>
          </w:p>
        </w:tc>
        <w:tc>
          <w:tcPr>
            <w:tcW w:w="8506" w:type="dxa"/>
            <w:tcBorders/>
            <w:shd w:color="auto" w:fill="auto" w:val="clear"/>
          </w:tcPr>
          <w:p>
            <w:pPr>
              <w:pStyle w:val="Normal"/>
              <w:widowControl w:val="false"/>
              <w:ind w:left="-75" w:right="-108" w:hanging="0"/>
              <w:jc w:val="both"/>
              <w:rPr>
                <w:color w:val="000000"/>
                <w:sz w:val="24"/>
                <w:szCs w:val="24"/>
              </w:rPr>
            </w:pPr>
            <w:r>
              <w:rPr>
                <w:sz w:val="24"/>
                <w:szCs w:val="24"/>
              </w:rPr>
              <w:t>Лимит риска для i-ой кредитной организации</w:t>
            </w:r>
            <w:r>
              <w:rPr>
                <w:rStyle w:val="FootnoteReference"/>
                <w:sz w:val="24"/>
                <w:szCs w:val="24"/>
                <w:vertAlign w:val="superscript"/>
              </w:rPr>
              <w:footnoteReference w:id="7"/>
            </w:r>
            <w:r>
              <w:rPr>
                <w:sz w:val="24"/>
                <w:szCs w:val="24"/>
                <w:vertAlign w:val="superscript"/>
              </w:rPr>
              <w:t>.</w:t>
            </w:r>
            <w:r>
              <w:rPr>
                <w:sz w:val="24"/>
                <w:szCs w:val="24"/>
              </w:rPr>
              <w:t xml:space="preserve"> </w:t>
            </w:r>
          </w:p>
        </w:tc>
      </w:tr>
      <w:tr>
        <w:trPr>
          <w:trHeight w:val="280" w:hRule="atLeast"/>
        </w:trPr>
        <w:tc>
          <w:tcPr>
            <w:tcW w:w="817" w:type="dxa"/>
            <w:tcBorders/>
            <w:shd w:color="auto" w:fill="auto" w:val="clear"/>
          </w:tcPr>
          <w:p>
            <w:pPr>
              <w:pStyle w:val="Normal"/>
              <w:widowControl w:val="false"/>
              <w:ind w:right="-108" w:hanging="0"/>
              <w:jc w:val="both"/>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rPr>
            </w:pPr>
            <w:r>
              <w:rPr>
                <w:color w:val="000000"/>
                <w:sz w:val="24"/>
                <w:szCs w:val="24"/>
              </w:rPr>
            </w:r>
          </w:p>
        </w:tc>
        <w:tc>
          <w:tcPr>
            <w:tcW w:w="283" w:type="dxa"/>
            <w:tcBorders/>
            <w:shd w:color="auto" w:fill="auto" w:val="clear"/>
          </w:tcPr>
          <w:p>
            <w:pPr>
              <w:pStyle w:val="Normal"/>
              <w:widowControl w:val="false"/>
              <w:ind w:right="-108" w:hanging="0"/>
              <w:jc w:val="both"/>
              <w:rPr>
                <w:color w:val="000000"/>
                <w:sz w:val="24"/>
                <w:szCs w:val="24"/>
              </w:rPr>
            </w:pPr>
            <w:r>
              <w:rPr>
                <w:sz w:val="24"/>
                <w:szCs w:val="24"/>
              </w:rPr>
              <w:t>-</w:t>
            </w:r>
            <w:r>
              <w:rPr>
                <w:color w:val="000000"/>
                <w:sz w:val="24"/>
                <w:szCs w:val="24"/>
              </w:rPr>
              <w:t xml:space="preserve">  </w:t>
            </w:r>
          </w:p>
        </w:tc>
        <w:tc>
          <w:tcPr>
            <w:tcW w:w="8506" w:type="dxa"/>
            <w:tcBorders/>
            <w:shd w:color="auto" w:fill="auto" w:val="clear"/>
          </w:tcPr>
          <w:p>
            <w:pPr>
              <w:pStyle w:val="Normal"/>
              <w:widowControl w:val="false"/>
              <w:ind w:left="-75" w:right="-108" w:hanging="0"/>
              <w:jc w:val="both"/>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r>
                <w:rPr>
                  <w:sz w:val="24"/>
                  <w:szCs w:val="24"/>
                  <w:u w:val="single"/>
                </w:rPr>
                <w:t>www.cbr.ru</w:t>
              </w:r>
            </w:hyperlink>
            <w:r>
              <w:rPr>
                <w:sz w:val="24"/>
                <w:szCs w:val="24"/>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rPr>
            </w:pPr>
            <w:r>
              <w:rPr>
                <w:b/>
                <w:i/>
                <w:color w:val="000000"/>
                <w:sz w:val="24"/>
                <w:szCs w:val="24"/>
              </w:rPr>
              <w:t>r</w:t>
            </w:r>
            <w:r>
              <w:rPr>
                <w:b/>
                <w:i/>
                <w:color w:val="000000"/>
                <w:sz w:val="24"/>
                <w:szCs w:val="24"/>
                <w:vertAlign w:val="subscript"/>
              </w:rPr>
              <w:t>i</w:t>
            </w:r>
          </w:p>
        </w:tc>
        <w:tc>
          <w:tcPr>
            <w:tcW w:w="283" w:type="dxa"/>
            <w:tcBorders/>
          </w:tcPr>
          <w:p>
            <w:pPr>
              <w:pStyle w:val="Normal"/>
              <w:widowControl w:val="false"/>
              <w:ind w:right="-108" w:hanging="0"/>
              <w:jc w:val="both"/>
              <w:rPr>
                <w:sz w:val="24"/>
                <w:szCs w:val="24"/>
              </w:rPr>
            </w:pPr>
            <w:r>
              <w:rPr>
                <w:sz w:val="24"/>
                <w:szCs w:val="24"/>
              </w:rPr>
              <w:t>-</w:t>
            </w:r>
          </w:p>
        </w:tc>
        <w:tc>
          <w:tcPr>
            <w:tcW w:w="8506" w:type="dxa"/>
            <w:tcBorders/>
          </w:tcPr>
          <w:p>
            <w:pPr>
              <w:pStyle w:val="Normal"/>
              <w:widowControl w:val="false"/>
              <w:tabs>
                <w:tab w:val="clear" w:pos="720"/>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rPr>
              <w:footnoteReference w:id="8"/>
            </w:r>
            <w:r>
              <w:rPr>
                <w:sz w:val="24"/>
                <w:szCs w:val="24"/>
              </w:rPr>
              <w:t xml:space="preserve"> для i-ой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spacing w:lineRule="auto" w:line="276" w:before="0" w:after="0"/>
        <w:ind w:left="720" w:hanging="0"/>
        <w:contextualSpacing/>
        <w:jc w:val="right"/>
        <w:rPr>
          <w:rFonts w:ascii="Calibri" w:hAnsi="Calibri" w:eastAsia="Calibri"/>
          <w:sz w:val="24"/>
          <w:szCs w:val="24"/>
          <w:lang w:eastAsia="en-US"/>
        </w:rPr>
      </w:pPr>
      <w:r>
        <w:rPr>
          <w:rFonts w:eastAsia="Calibri" w:ascii="Calibri" w:hAnsi="Calibri"/>
          <w:sz w:val="24"/>
          <w:szCs w:val="24"/>
          <w:lang w:eastAsia="en-US"/>
        </w:rPr>
      </w:r>
      <w:r>
        <w:br w:type="page"/>
      </w:r>
    </w:p>
    <w:p>
      <w:pPr>
        <w:pStyle w:val="Normal"/>
        <w:spacing w:lineRule="auto" w:line="276" w:before="0" w:after="200"/>
        <w:ind w:left="720" w:hanging="0"/>
        <w:contextualSpacing/>
        <w:jc w:val="right"/>
        <w:rPr>
          <w:rFonts w:eastAsia="Calibri"/>
          <w:sz w:val="24"/>
          <w:szCs w:val="24"/>
          <w:lang w:eastAsia="en-US"/>
        </w:rPr>
      </w:pPr>
      <w:r>
        <w:rPr>
          <w:rFonts w:eastAsia="Calibri"/>
          <w:sz w:val="24"/>
          <w:szCs w:val="24"/>
          <w:lang w:eastAsia="en-US"/>
        </w:rPr>
      </w:r>
    </w:p>
    <w:p>
      <w:pPr>
        <w:pStyle w:val="Normal"/>
        <w:keepNext w:val="true"/>
        <w:numPr>
          <w:ilvl w:val="0"/>
          <w:numId w:val="20"/>
        </w:numPr>
        <w:spacing w:before="240" w:after="0"/>
        <w:ind w:left="142" w:hanging="142"/>
        <w:jc w:val="center"/>
        <w:outlineLvl w:val="0"/>
        <w:rPr>
          <w:bCs/>
          <w:kern w:val="2"/>
          <w:sz w:val="24"/>
          <w:szCs w:val="24"/>
        </w:rPr>
      </w:pPr>
      <w:bookmarkStart w:id="6" w:name="_Toc122678951"/>
      <w:r>
        <w:rPr>
          <w:bCs/>
          <w:kern w:val="2"/>
          <w:sz w:val="24"/>
          <w:szCs w:val="24"/>
        </w:rPr>
        <w:t>Условия банковской гарантии</w:t>
      </w:r>
      <w:r>
        <w:rPr>
          <w:rStyle w:val="FootnoteReference"/>
          <w:bCs/>
          <w:kern w:val="2"/>
          <w:sz w:val="24"/>
          <w:szCs w:val="24"/>
          <w:vertAlign w:val="superscript"/>
        </w:rPr>
        <w:footnoteReference w:id="9"/>
      </w:r>
      <w:bookmarkEnd w:id="6"/>
    </w:p>
    <w:p>
      <w:pPr>
        <w:pStyle w:val="Normal"/>
        <w:jc w:val="center"/>
        <w:rPr>
          <w:sz w:val="24"/>
          <w:szCs w:val="24"/>
        </w:rPr>
      </w:pPr>
      <w:r>
        <w:rPr>
          <w:sz w:val="24"/>
          <w:szCs w:val="24"/>
        </w:rPr>
      </w:r>
    </w:p>
    <w:p>
      <w:pPr>
        <w:pStyle w:val="Normal"/>
        <w:numPr>
          <w:ilvl w:val="0"/>
          <w:numId w:val="19"/>
        </w:numPr>
        <w:spacing w:before="120" w:after="120"/>
        <w:ind w:left="0" w:firstLine="709"/>
        <w:jc w:val="both"/>
        <w:rPr>
          <w:bCs/>
          <w:sz w:val="24"/>
          <w:szCs w:val="24"/>
        </w:rPr>
      </w:pPr>
      <w:r>
        <w:rPr>
          <w:bCs/>
          <w:sz w:val="24"/>
          <w:szCs w:val="24"/>
        </w:rPr>
        <w:t>Условия банковской гарантии возврата предварительной оплаты (аванса)/надлежащего исполнения обязательств по Договору</w:t>
      </w:r>
    </w:p>
    <w:p>
      <w:pPr>
        <w:pStyle w:val="Normal"/>
        <w:tabs>
          <w:tab w:val="clear" w:pos="720"/>
          <w:tab w:val="left" w:pos="540" w:leader="none"/>
        </w:tabs>
        <w:spacing w:before="20" w:after="20"/>
        <w:ind w:firstLine="709"/>
        <w:jc w:val="both"/>
        <w:rPr>
          <w:color w:val="000000"/>
          <w:sz w:val="24"/>
          <w:szCs w:val="24"/>
        </w:rPr>
      </w:pPr>
      <w:r>
        <w:rPr>
          <w:bCs/>
          <w:sz w:val="24"/>
          <w:szCs w:val="24"/>
        </w:rPr>
        <w:t>Под банковской гарантией понимается гарантия согласованного Покупателем Банка</w:t>
      </w:r>
      <w:r>
        <w:rPr>
          <w:sz w:val="24"/>
          <w:szCs w:val="24"/>
        </w:rPr>
        <w:t xml:space="preserve">, </w:t>
      </w:r>
      <w:r>
        <w:rPr>
          <w:bCs/>
          <w:sz w:val="24"/>
          <w:szCs w:val="24"/>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color w:val="000000"/>
          <w:sz w:val="24"/>
          <w:szCs w:val="24"/>
        </w:rPr>
        <w:t>:</w:t>
      </w:r>
    </w:p>
    <w:p>
      <w:pPr>
        <w:pStyle w:val="Normal"/>
        <w:numPr>
          <w:ilvl w:val="0"/>
          <w:numId w:val="18"/>
        </w:numPr>
        <w:tabs>
          <w:tab w:val="clear" w:pos="720"/>
          <w:tab w:val="left" w:pos="1134" w:leader="none"/>
        </w:tabs>
        <w:spacing w:before="20" w:after="20"/>
        <w:ind w:left="0" w:firstLine="709"/>
        <w:jc w:val="both"/>
        <w:rPr>
          <w:color w:val="000000"/>
          <w:sz w:val="24"/>
          <w:szCs w:val="24"/>
        </w:rPr>
      </w:pPr>
      <w:r>
        <w:rPr>
          <w:color w:val="000000"/>
          <w:sz w:val="24"/>
          <w:szCs w:val="24"/>
        </w:rPr>
        <w:t>банковская гарантия должна быть безотзывной и безусловной (гарантия по первому требованию);</w:t>
      </w:r>
    </w:p>
    <w:p>
      <w:pPr>
        <w:pStyle w:val="Normal"/>
        <w:numPr>
          <w:ilvl w:val="0"/>
          <w:numId w:val="18"/>
        </w:numPr>
        <w:tabs>
          <w:tab w:val="clear" w:pos="720"/>
          <w:tab w:val="left" w:pos="1134" w:leader="none"/>
        </w:tabs>
        <w:spacing w:before="20" w:after="20"/>
        <w:ind w:left="0" w:firstLine="709"/>
        <w:jc w:val="both"/>
        <w:rPr>
          <w:color w:val="000000"/>
          <w:sz w:val="24"/>
          <w:szCs w:val="24"/>
        </w:rPr>
      </w:pPr>
      <w:r>
        <w:rPr>
          <w:color w:val="000000"/>
          <w:sz w:val="24"/>
          <w:szCs w:val="24"/>
        </w:rPr>
        <w:t>бенефициар по банковской гарантии – Покупатель (далее – Бенефициар), принципал – Поставщик (далее – Принципал);</w:t>
      </w:r>
    </w:p>
    <w:p>
      <w:pPr>
        <w:pStyle w:val="Normal"/>
        <w:numPr>
          <w:ilvl w:val="0"/>
          <w:numId w:val="18"/>
        </w:numPr>
        <w:tabs>
          <w:tab w:val="clear" w:pos="720"/>
          <w:tab w:val="left" w:pos="1134" w:leader="none"/>
        </w:tabs>
        <w:spacing w:before="20" w:after="20"/>
        <w:ind w:left="0" w:firstLine="709"/>
        <w:jc w:val="both"/>
        <w:rPr>
          <w:color w:val="000000"/>
          <w:sz w:val="24"/>
          <w:szCs w:val="24"/>
        </w:rPr>
      </w:pPr>
      <w:r>
        <w:rPr>
          <w:color w:val="000000"/>
          <w:sz w:val="24"/>
          <w:szCs w:val="24"/>
        </w:rPr>
        <w:t xml:space="preserve">сумма банковской гарантии выражена в валюте расчетов </w:t>
        <w:br/>
        <w:t>по Договору;</w:t>
      </w:r>
    </w:p>
    <w:p>
      <w:pPr>
        <w:pStyle w:val="Normal"/>
        <w:numPr>
          <w:ilvl w:val="0"/>
          <w:numId w:val="18"/>
        </w:numPr>
        <w:tabs>
          <w:tab w:val="clear" w:pos="720"/>
          <w:tab w:val="left" w:pos="1134" w:leader="none"/>
        </w:tabs>
        <w:spacing w:before="20" w:after="20"/>
        <w:ind w:left="0" w:firstLine="709"/>
        <w:jc w:val="both"/>
        <w:rPr>
          <w:color w:val="000000"/>
          <w:sz w:val="24"/>
          <w:szCs w:val="24"/>
        </w:rPr>
      </w:pPr>
      <w:r>
        <w:rPr>
          <w:color w:val="000000"/>
          <w:sz w:val="24"/>
          <w:szCs w:val="24"/>
        </w:rPr>
        <w:t xml:space="preserve">сумма банковской гарантии возврата авансового платежа – не менее 100 (ста) процентов от суммы уплачиваемого по Договору аванса </w:t>
        <w:br/>
        <w:t>(в совокупной сумме с учетом ранее выплаченных и неотработанных авансовых платежей);</w:t>
      </w:r>
    </w:p>
    <w:p>
      <w:pPr>
        <w:pStyle w:val="Normal"/>
        <w:numPr>
          <w:ilvl w:val="0"/>
          <w:numId w:val="18"/>
        </w:numPr>
        <w:tabs>
          <w:tab w:val="clear" w:pos="720"/>
          <w:tab w:val="left" w:pos="1134" w:leader="none"/>
        </w:tabs>
        <w:spacing w:before="20" w:after="20"/>
        <w:ind w:left="0" w:firstLine="709"/>
        <w:jc w:val="both"/>
        <w:rPr>
          <w:color w:val="000000"/>
          <w:sz w:val="24"/>
          <w:szCs w:val="24"/>
        </w:rPr>
      </w:pPr>
      <w:r>
        <w:rPr>
          <w:color w:val="000000"/>
          <w:sz w:val="24"/>
          <w:szCs w:val="24"/>
        </w:rPr>
        <w:t>сумма банковской гарантии надлежащего исполнения обязательств по Договору должна составлять не менее:</w:t>
      </w:r>
    </w:p>
    <w:p>
      <w:pPr>
        <w:pStyle w:val="Normal"/>
        <w:numPr>
          <w:ilvl w:val="0"/>
          <w:numId w:val="16"/>
        </w:numPr>
        <w:tabs>
          <w:tab w:val="clear" w:pos="720"/>
          <w:tab w:val="left" w:pos="1134" w:leader="none"/>
        </w:tabs>
        <w:spacing w:before="20" w:after="20"/>
        <w:ind w:left="0" w:firstLine="709"/>
        <w:jc w:val="both"/>
        <w:rPr>
          <w:color w:val="000000"/>
          <w:sz w:val="24"/>
          <w:szCs w:val="24"/>
        </w:rPr>
      </w:pPr>
      <w:r>
        <w:rPr>
          <w:color w:val="000000"/>
          <w:sz w:val="24"/>
          <w:szCs w:val="24"/>
        </w:rPr>
        <w:t>10 (десяти) процентов от цены Договора / объекта;</w:t>
      </w:r>
    </w:p>
    <w:p>
      <w:pPr>
        <w:pStyle w:val="Normal"/>
        <w:numPr>
          <w:ilvl w:val="0"/>
          <w:numId w:val="18"/>
        </w:numPr>
        <w:tabs>
          <w:tab w:val="clear" w:pos="720"/>
          <w:tab w:val="left" w:pos="1134" w:leader="none"/>
        </w:tabs>
        <w:spacing w:before="20" w:after="20"/>
        <w:ind w:left="0" w:firstLine="709"/>
        <w:jc w:val="both"/>
        <w:rPr>
          <w:color w:val="000000"/>
          <w:sz w:val="24"/>
          <w:szCs w:val="24"/>
        </w:rPr>
      </w:pPr>
      <w:r>
        <w:rPr>
          <w:color w:val="000000"/>
          <w:sz w:val="24"/>
          <w:szCs w:val="24"/>
        </w:rPr>
        <w:t xml:space="preserve">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w:t>
        <w:br/>
        <w:t xml:space="preserve">70 (семидесяти) календарных дней с даты окончания гарантийного срока </w:t>
        <w:br/>
        <w:t>на объект</w:t>
      </w:r>
      <w:r>
        <w:rPr>
          <w:rStyle w:val="FootnoteReference"/>
          <w:color w:val="000000"/>
          <w:sz w:val="24"/>
          <w:szCs w:val="24"/>
          <w:vertAlign w:val="superscript"/>
        </w:rPr>
        <w:footnoteReference w:id="10"/>
      </w:r>
      <w:r>
        <w:rPr>
          <w:color w:val="000000"/>
          <w:sz w:val="24"/>
          <w:szCs w:val="24"/>
        </w:rPr>
        <w:t>.</w:t>
      </w:r>
    </w:p>
    <w:p>
      <w:pPr>
        <w:pStyle w:val="Normal"/>
        <w:spacing w:before="20" w:after="20"/>
        <w:ind w:firstLine="709"/>
        <w:jc w:val="both"/>
        <w:rPr>
          <w:sz w:val="24"/>
          <w:szCs w:val="24"/>
        </w:rPr>
      </w:pPr>
      <w:r>
        <w:rPr>
          <w:bCs/>
          <w:sz w:val="24"/>
          <w:szCs w:val="24"/>
        </w:rPr>
        <w:t xml:space="preserve">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w:t>
        <w:br/>
        <w:t xml:space="preserve">и частично, с указанием на существо допущенных Принципалом нарушений, </w:t>
        <w:br/>
        <w:t>в том числе в случаях</w:t>
      </w:r>
      <w:r>
        <w:rPr>
          <w:sz w:val="24"/>
          <w:szCs w:val="24"/>
        </w:rPr>
        <w:t>:</w:t>
      </w:r>
    </w:p>
    <w:p>
      <w:pPr>
        <w:pStyle w:val="Normal"/>
        <w:numPr>
          <w:ilvl w:val="0"/>
          <w:numId w:val="15"/>
        </w:numPr>
        <w:tabs>
          <w:tab w:val="clear" w:pos="720"/>
          <w:tab w:val="left" w:pos="1134" w:leader="none"/>
        </w:tabs>
        <w:spacing w:before="20" w:after="20"/>
        <w:ind w:left="0" w:firstLine="709"/>
        <w:jc w:val="both"/>
        <w:rPr>
          <w:color w:val="000000"/>
          <w:sz w:val="24"/>
          <w:szCs w:val="24"/>
        </w:rPr>
      </w:pPr>
      <w:r>
        <w:rPr>
          <w:color w:val="000000"/>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5"/>
        </w:numPr>
        <w:tabs>
          <w:tab w:val="clear" w:pos="720"/>
          <w:tab w:val="left" w:pos="1134" w:leader="none"/>
        </w:tabs>
        <w:spacing w:before="20" w:after="20"/>
        <w:ind w:left="0" w:firstLine="709"/>
        <w:jc w:val="both"/>
        <w:rPr>
          <w:color w:val="000000"/>
          <w:sz w:val="24"/>
          <w:szCs w:val="24"/>
        </w:rPr>
      </w:pPr>
      <w:r>
        <w:rPr>
          <w:color w:val="000000"/>
          <w:sz w:val="24"/>
          <w:szCs w:val="24"/>
        </w:rPr>
        <w:t xml:space="preserve">отказа Принципала от возврата неотработанного аванса </w:t>
        <w:br/>
        <w:t xml:space="preserve">при досрочном прекращении Договора/признании Договора недействительным; </w:t>
      </w:r>
    </w:p>
    <w:p>
      <w:pPr>
        <w:pStyle w:val="Normal"/>
        <w:numPr>
          <w:ilvl w:val="0"/>
          <w:numId w:val="15"/>
        </w:numPr>
        <w:tabs>
          <w:tab w:val="clear" w:pos="720"/>
          <w:tab w:val="left" w:pos="1134" w:leader="none"/>
        </w:tabs>
        <w:spacing w:before="20" w:after="20"/>
        <w:ind w:left="0" w:firstLine="709"/>
        <w:jc w:val="both"/>
        <w:rPr>
          <w:color w:val="000000"/>
          <w:sz w:val="24"/>
          <w:szCs w:val="24"/>
        </w:rPr>
      </w:pPr>
      <w:r>
        <w:rPr>
          <w:color w:val="000000"/>
          <w:sz w:val="24"/>
          <w:szCs w:val="24"/>
        </w:rPr>
        <w:t xml:space="preserve">нарушения Принципалом сроков поставки/выполнения работ/ оказания услуг, установленных Календарным графиком, более чем </w:t>
        <w:br/>
        <w:t>на 15 (пятнадцать) календарных дней;</w:t>
      </w:r>
    </w:p>
    <w:p>
      <w:pPr>
        <w:pStyle w:val="Normal"/>
        <w:numPr>
          <w:ilvl w:val="0"/>
          <w:numId w:val="15"/>
        </w:numPr>
        <w:tabs>
          <w:tab w:val="clear" w:pos="720"/>
          <w:tab w:val="left" w:pos="1134" w:leader="none"/>
        </w:tabs>
        <w:spacing w:before="20" w:after="20"/>
        <w:ind w:left="0" w:firstLine="709"/>
        <w:jc w:val="both"/>
        <w:rPr>
          <w:color w:val="000000"/>
          <w:sz w:val="24"/>
          <w:szCs w:val="24"/>
        </w:rPr>
      </w:pPr>
      <w:r>
        <w:rPr>
          <w:color w:val="000000"/>
          <w:sz w:val="24"/>
          <w:szCs w:val="24"/>
        </w:rPr>
        <w:t xml:space="preserve"> </w:t>
      </w:r>
      <w:r>
        <w:rPr>
          <w:color w:val="000000"/>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5"/>
        </w:numPr>
        <w:tabs>
          <w:tab w:val="clear" w:pos="720"/>
          <w:tab w:val="left" w:pos="1134" w:leader="none"/>
        </w:tabs>
        <w:spacing w:before="20" w:after="20"/>
        <w:ind w:left="0" w:firstLine="709"/>
        <w:jc w:val="both"/>
        <w:rPr>
          <w:bCs/>
          <w:sz w:val="24"/>
          <w:szCs w:val="24"/>
        </w:rPr>
      </w:pPr>
      <w:r>
        <w:rPr>
          <w:color w:val="000000"/>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5"/>
        </w:numPr>
        <w:tabs>
          <w:tab w:val="clear" w:pos="720"/>
          <w:tab w:val="left" w:pos="1134" w:leader="none"/>
        </w:tabs>
        <w:spacing w:before="20" w:after="20"/>
        <w:ind w:left="0" w:firstLine="709"/>
        <w:jc w:val="both"/>
        <w:rPr>
          <w:color w:val="000000"/>
          <w:sz w:val="24"/>
          <w:szCs w:val="24"/>
        </w:rPr>
      </w:pPr>
      <w:r>
        <w:rPr>
          <w:color w:val="000000"/>
          <w:sz w:val="24"/>
          <w:szCs w:val="24"/>
        </w:rPr>
        <w:t>введения арбитражным судом процедуры несостоятельности (банкротства) в отношении Принципала;</w:t>
      </w:r>
    </w:p>
    <w:p>
      <w:pPr>
        <w:pStyle w:val="Normal"/>
        <w:numPr>
          <w:ilvl w:val="0"/>
          <w:numId w:val="15"/>
        </w:numPr>
        <w:tabs>
          <w:tab w:val="clear" w:pos="720"/>
          <w:tab w:val="left" w:pos="1134" w:leader="none"/>
        </w:tabs>
        <w:spacing w:before="20" w:after="20"/>
        <w:ind w:left="0" w:firstLine="709"/>
        <w:jc w:val="both"/>
        <w:rPr>
          <w:color w:val="000000"/>
          <w:sz w:val="24"/>
          <w:szCs w:val="24"/>
        </w:rPr>
      </w:pPr>
      <w:r>
        <w:rPr>
          <w:color w:val="000000"/>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w:t>
        <w:br/>
        <w:t xml:space="preserve">к участникам закупки и / или предоставления недостоверной информации </w:t>
        <w:br/>
        <w:t>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5"/>
        </w:numPr>
        <w:tabs>
          <w:tab w:val="clear" w:pos="720"/>
          <w:tab w:val="left" w:pos="1134" w:leader="none"/>
        </w:tabs>
        <w:spacing w:before="20" w:after="20"/>
        <w:ind w:left="0" w:firstLine="709"/>
        <w:jc w:val="both"/>
        <w:rPr>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Принципала;</w:t>
      </w:r>
    </w:p>
    <w:p>
      <w:pPr>
        <w:pStyle w:val="Normal"/>
        <w:numPr>
          <w:ilvl w:val="0"/>
          <w:numId w:val="15"/>
        </w:numPr>
        <w:tabs>
          <w:tab w:val="clear" w:pos="720"/>
          <w:tab w:val="left" w:pos="1134" w:leader="none"/>
        </w:tabs>
        <w:spacing w:before="20" w:after="20"/>
        <w:ind w:left="0" w:firstLine="709"/>
        <w:jc w:val="both"/>
        <w:rPr>
          <w:sz w:val="24"/>
          <w:szCs w:val="24"/>
        </w:rPr>
      </w:pPr>
      <w:r>
        <w:rPr>
          <w:sz w:val="24"/>
          <w:szCs w:val="24"/>
        </w:rPr>
        <w:t xml:space="preserve">не предоставления Принципалом в срок не позднее чем </w:t>
        <w:br/>
        <w:t xml:space="preserve">за 30 (тридцать) календарных дней до даты истечения срока действия банковской гарантии новой банковской гарантии или изменения </w:t>
        <w:br/>
        <w:t>к действующей гарантии в части увеличения срока ее действия на новый период, в случаях если срок исполнения обязательств Принципала</w:t>
        <w:br/>
        <w:t>по Договору превышает срок действия банковской гарантии либо срок исполнения обязательств продлен.</w:t>
      </w:r>
    </w:p>
    <w:p>
      <w:pPr>
        <w:pStyle w:val="Normal"/>
        <w:spacing w:before="20" w:after="20"/>
        <w:ind w:firstLine="709"/>
        <w:jc w:val="both"/>
        <w:rPr>
          <w:color w:val="000000"/>
          <w:sz w:val="24"/>
          <w:szCs w:val="24"/>
        </w:rPr>
      </w:pPr>
      <w:r>
        <w:rPr>
          <w:color w:val="000000"/>
          <w:sz w:val="24"/>
          <w:szCs w:val="24"/>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before="20" w:after="20"/>
        <w:ind w:firstLine="709"/>
        <w:jc w:val="both"/>
        <w:rPr>
          <w:sz w:val="24"/>
          <w:szCs w:val="24"/>
        </w:rPr>
      </w:pPr>
      <w:r>
        <w:rPr>
          <w:bCs/>
          <w:sz w:val="24"/>
          <w:szCs w:val="24"/>
        </w:rPr>
        <w:t xml:space="preserve">Банковской гарантией возврата авансового платежа может быть предусмотрено условие о предоставлении вместе с требованием </w:t>
        <w:br/>
        <w:t>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before="20" w:after="20"/>
        <w:ind w:firstLine="709"/>
        <w:jc w:val="both"/>
        <w:rPr>
          <w:sz w:val="24"/>
          <w:szCs w:val="24"/>
        </w:rPr>
      </w:pPr>
      <w:r>
        <w:rPr>
          <w:sz w:val="24"/>
          <w:szCs w:val="24"/>
        </w:rPr>
        <w:t xml:space="preserve">Платеж по банковской гарантии осуществляется Банком-гарантом </w:t>
        <w:br/>
        <w:t>в течение 10 (десяти) рабочих дней после обращения Бенефициара.</w:t>
      </w:r>
    </w:p>
    <w:p>
      <w:pPr>
        <w:pStyle w:val="Normal"/>
        <w:spacing w:before="20" w:after="20"/>
        <w:ind w:firstLine="709"/>
        <w:jc w:val="both"/>
        <w:rPr>
          <w:sz w:val="24"/>
          <w:szCs w:val="24"/>
        </w:rPr>
      </w:pPr>
      <w:r>
        <w:rPr>
          <w:sz w:val="24"/>
          <w:szCs w:val="24"/>
        </w:rPr>
        <w:t xml:space="preserve">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w:t>
      </w:r>
      <w:r>
        <w:rPr>
          <w:color w:val="000000"/>
          <w:sz w:val="24"/>
          <w:szCs w:val="24"/>
        </w:rPr>
        <w:t xml:space="preserve">/ </w:t>
      </w:r>
      <w:r>
        <w:rPr>
          <w:sz w:val="24"/>
          <w:szCs w:val="24"/>
        </w:rPr>
        <w:t>соответствующему объекту при условии подтверждения их выполнения</w:t>
      </w:r>
      <w:r>
        <w:rPr>
          <w:rStyle w:val="FootnoteReference"/>
          <w:sz w:val="24"/>
          <w:szCs w:val="24"/>
          <w:vertAlign w:val="superscript"/>
        </w:rPr>
        <w:footnoteReference w:id="11"/>
      </w:r>
      <w:r>
        <w:rPr>
          <w:sz w:val="24"/>
          <w:szCs w:val="24"/>
        </w:rPr>
        <w:t>.</w:t>
      </w:r>
    </w:p>
    <w:p>
      <w:pPr>
        <w:pStyle w:val="Normal"/>
        <w:spacing w:before="20" w:after="20"/>
        <w:ind w:firstLine="709"/>
        <w:jc w:val="both"/>
        <w:rPr>
          <w:sz w:val="24"/>
          <w:szCs w:val="24"/>
        </w:rPr>
      </w:pPr>
      <w:r>
        <w:rPr>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ind w:firstLine="709"/>
        <w:jc w:val="both"/>
        <w:rPr>
          <w:sz w:val="24"/>
          <w:szCs w:val="24"/>
        </w:rPr>
      </w:pPr>
      <w:r>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before="20" w:after="20"/>
        <w:ind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 Москвы</w:t>
      </w:r>
      <w:r>
        <w:rPr>
          <w:rStyle w:val="FootnoteReference"/>
          <w:sz w:val="24"/>
          <w:szCs w:val="24"/>
          <w:vertAlign w:val="superscript"/>
        </w:rPr>
        <w:footnoteReference w:id="12"/>
      </w:r>
      <w:r>
        <w:rPr>
          <w:bCs/>
          <w:sz w:val="24"/>
          <w:szCs w:val="24"/>
        </w:rPr>
        <w:t xml:space="preserve"> </w:t>
        <w:br/>
        <w:t>в качестве органа, компетентного разрешать споры из банковской гарантии.</w:t>
      </w:r>
    </w:p>
    <w:p>
      <w:pPr>
        <w:pStyle w:val="Normal"/>
        <w:spacing w:before="20" w:after="20"/>
        <w:ind w:firstLine="709"/>
        <w:jc w:val="both"/>
        <w:rPr>
          <w:sz w:val="24"/>
          <w:szCs w:val="24"/>
        </w:rPr>
      </w:pPr>
      <w:r>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pPr>
        <w:pStyle w:val="Normal"/>
        <w:ind w:firstLine="709"/>
        <w:jc w:val="right"/>
        <w:rPr>
          <w:sz w:val="24"/>
          <w:szCs w:val="24"/>
        </w:rPr>
      </w:pPr>
      <w:r>
        <w:rPr>
          <w:sz w:val="24"/>
          <w:szCs w:val="24"/>
        </w:rPr>
      </w:r>
      <w:r>
        <w:br w:type="page"/>
      </w:r>
    </w:p>
    <w:p>
      <w:pPr>
        <w:pStyle w:val="Normal"/>
        <w:ind w:firstLine="709"/>
        <w:jc w:val="right"/>
        <w:rPr>
          <w:bCs/>
          <w:sz w:val="24"/>
          <w:szCs w:val="24"/>
        </w:rPr>
      </w:pPr>
      <w:r>
        <w:rPr>
          <w:bCs/>
          <w:sz w:val="24"/>
          <w:szCs w:val="24"/>
        </w:rPr>
      </w:r>
    </w:p>
    <w:p>
      <w:pPr>
        <w:pStyle w:val="Normal"/>
        <w:keepNext w:val="true"/>
        <w:numPr>
          <w:ilvl w:val="0"/>
          <w:numId w:val="19"/>
        </w:numPr>
        <w:jc w:val="center"/>
        <w:outlineLvl w:val="0"/>
        <w:rPr>
          <w:bCs/>
          <w:kern w:val="2"/>
          <w:sz w:val="24"/>
          <w:szCs w:val="24"/>
        </w:rPr>
      </w:pPr>
      <w:bookmarkStart w:id="7" w:name="_Toc122678952"/>
      <w:r>
        <w:rPr>
          <w:bCs/>
          <w:kern w:val="2"/>
          <w:sz w:val="24"/>
          <w:szCs w:val="24"/>
        </w:rPr>
        <w:t>Условия Независимой(-ых) гарантии(-й),</w:t>
      </w:r>
      <w:bookmarkEnd w:id="7"/>
      <w:r>
        <w:rPr>
          <w:bCs/>
          <w:kern w:val="2"/>
          <w:sz w:val="24"/>
          <w:szCs w:val="24"/>
        </w:rPr>
        <w:t xml:space="preserve"> </w:t>
      </w:r>
    </w:p>
    <w:p>
      <w:pPr>
        <w:pStyle w:val="Normal"/>
        <w:jc w:val="center"/>
        <w:rPr>
          <w:sz w:val="24"/>
          <w:szCs w:val="24"/>
        </w:rPr>
      </w:pPr>
      <w:bookmarkStart w:id="8" w:name="_Toc122678294"/>
      <w:r>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Pr>
          <w:rStyle w:val="FootnoteReference"/>
          <w:sz w:val="24"/>
          <w:szCs w:val="24"/>
          <w:vertAlign w:val="superscript"/>
        </w:rPr>
        <w:footnoteReference w:id="13"/>
      </w:r>
      <w:r>
        <w:rPr>
          <w:sz w:val="24"/>
          <w:szCs w:val="24"/>
        </w:rPr>
        <w:t xml:space="preserve"> </w:t>
      </w:r>
      <w:bookmarkEnd w:id="8"/>
    </w:p>
    <w:p>
      <w:pPr>
        <w:pStyle w:val="Normal"/>
        <w:jc w:val="center"/>
        <w:rPr>
          <w:sz w:val="24"/>
          <w:szCs w:val="24"/>
        </w:rPr>
      </w:pPr>
      <w:r>
        <w:rPr>
          <w:sz w:val="24"/>
          <w:szCs w:val="24"/>
        </w:rPr>
      </w:r>
    </w:p>
    <w:p>
      <w:pPr>
        <w:pStyle w:val="Normal"/>
        <w:ind w:firstLine="709"/>
        <w:jc w:val="both"/>
        <w:rPr>
          <w:bCs/>
          <w:sz w:val="24"/>
          <w:szCs w:val="24"/>
        </w:rPr>
      </w:pPr>
      <w:r>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22"/>
        </w:numPr>
        <w:ind w:left="0" w:firstLine="709"/>
        <w:jc w:val="both"/>
        <w:rPr>
          <w:bCs/>
          <w:sz w:val="24"/>
          <w:szCs w:val="24"/>
        </w:rPr>
      </w:pPr>
      <w:r>
        <w:rPr>
          <w:bCs/>
          <w:sz w:val="24"/>
          <w:szCs w:val="24"/>
        </w:rPr>
        <w:t>Независимая гарантия не может быть отозвана выдавшим ее гарантом (далее – Гарант);</w:t>
      </w:r>
    </w:p>
    <w:p>
      <w:pPr>
        <w:pStyle w:val="Normal"/>
        <w:numPr>
          <w:ilvl w:val="0"/>
          <w:numId w:val="22"/>
        </w:numPr>
        <w:ind w:left="0" w:firstLine="709"/>
        <w:jc w:val="both"/>
        <w:rPr>
          <w:bCs/>
          <w:sz w:val="24"/>
          <w:szCs w:val="24"/>
        </w:rPr>
      </w:pPr>
      <w:r>
        <w:rPr>
          <w:bCs/>
          <w:sz w:val="24"/>
          <w:szCs w:val="24"/>
        </w:rPr>
        <w:t>бенефициар по Независимой гарантии – Покупатель (далее –Бенефициар), принципал – Поставщик (далее – Принципал);</w:t>
      </w:r>
    </w:p>
    <w:p>
      <w:pPr>
        <w:pStyle w:val="Normal"/>
        <w:numPr>
          <w:ilvl w:val="0"/>
          <w:numId w:val="22"/>
        </w:numPr>
        <w:ind w:left="0" w:firstLine="709"/>
        <w:jc w:val="both"/>
        <w:rPr>
          <w:bCs/>
          <w:sz w:val="24"/>
          <w:szCs w:val="24"/>
        </w:rPr>
      </w:pPr>
      <w:r>
        <w:rPr>
          <w:bCs/>
          <w:sz w:val="24"/>
          <w:szCs w:val="24"/>
        </w:rPr>
        <w:t>сумма Независимой гарантии выражена в валюте расчетов по Договору;</w:t>
      </w:r>
    </w:p>
    <w:p>
      <w:pPr>
        <w:pStyle w:val="Normal"/>
        <w:numPr>
          <w:ilvl w:val="0"/>
          <w:numId w:val="22"/>
        </w:numPr>
        <w:ind w:left="0" w:firstLine="709"/>
        <w:jc w:val="both"/>
        <w:rPr>
          <w:bCs/>
          <w:sz w:val="24"/>
          <w:szCs w:val="24"/>
        </w:rPr>
      </w:pPr>
      <w:r>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22"/>
        </w:numPr>
        <w:ind w:left="0" w:firstLine="709"/>
        <w:jc w:val="both"/>
        <w:rPr>
          <w:bCs/>
          <w:sz w:val="24"/>
          <w:szCs w:val="24"/>
        </w:rPr>
      </w:pPr>
      <w:r>
        <w:rPr>
          <w:bCs/>
          <w:sz w:val="24"/>
          <w:szCs w:val="24"/>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22"/>
        </w:numPr>
        <w:ind w:left="0" w:firstLine="709"/>
        <w:jc w:val="both"/>
        <w:rPr>
          <w:bCs/>
          <w:sz w:val="24"/>
          <w:szCs w:val="24"/>
        </w:rPr>
      </w:pPr>
      <w:r>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sz w:val="24"/>
          <w:szCs w:val="24"/>
          <w:vertAlign w:val="superscript"/>
        </w:rPr>
        <w:footnoteReference w:id="14"/>
      </w:r>
      <w:r>
        <w:rPr>
          <w:bCs/>
          <w:sz w:val="24"/>
          <w:szCs w:val="24"/>
        </w:rPr>
        <w:t>;</w:t>
      </w:r>
    </w:p>
    <w:p>
      <w:pPr>
        <w:pStyle w:val="Normal"/>
        <w:numPr>
          <w:ilvl w:val="0"/>
          <w:numId w:val="22"/>
        </w:numPr>
        <w:ind w:left="0" w:firstLine="709"/>
        <w:jc w:val="both"/>
        <w:rPr>
          <w:bCs/>
          <w:sz w:val="24"/>
          <w:szCs w:val="24"/>
        </w:rPr>
      </w:pPr>
      <w:r>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ind w:firstLine="709"/>
        <w:jc w:val="both"/>
        <w:rPr>
          <w:bCs/>
          <w:sz w:val="24"/>
          <w:szCs w:val="24"/>
        </w:rPr>
      </w:pPr>
      <w:r>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ind w:firstLine="709"/>
        <w:jc w:val="both"/>
        <w:rPr>
          <w:bCs/>
          <w:sz w:val="24"/>
          <w:szCs w:val="24"/>
        </w:rPr>
      </w:pPr>
      <w:r>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ind w:firstLine="709"/>
        <w:jc w:val="both"/>
        <w:rPr>
          <w:bCs/>
          <w:sz w:val="24"/>
          <w:szCs w:val="24"/>
        </w:rPr>
      </w:pPr>
      <w:r>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ind w:firstLine="709"/>
        <w:jc w:val="both"/>
        <w:rPr>
          <w:bCs/>
          <w:sz w:val="24"/>
          <w:szCs w:val="24"/>
        </w:rPr>
      </w:pPr>
      <w:r>
        <w:rPr>
          <w:bCs/>
          <w:sz w:val="24"/>
          <w:szCs w:val="24"/>
        </w:rPr>
        <w:t xml:space="preserve">Выбор формы направления такого требования осуществляется Бенефициаром самостоятельно. </w:t>
      </w:r>
    </w:p>
    <w:p>
      <w:pPr>
        <w:pStyle w:val="Normal"/>
        <w:ind w:firstLine="709"/>
        <w:jc w:val="both"/>
        <w:rPr>
          <w:bCs/>
          <w:sz w:val="24"/>
          <w:szCs w:val="24"/>
        </w:rPr>
      </w:pPr>
      <w:r>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2"/>
        </w:numPr>
        <w:ind w:left="0" w:firstLine="709"/>
        <w:jc w:val="both"/>
        <w:rPr>
          <w:bCs/>
          <w:sz w:val="24"/>
          <w:szCs w:val="24"/>
        </w:rPr>
      </w:pPr>
      <w:r>
        <w:rPr>
          <w:bCs/>
          <w:sz w:val="24"/>
          <w:szCs w:val="24"/>
        </w:rPr>
        <w:t>расчет суммы, включаемой в требование об уплате денежной суммы по Независимой гарантии;</w:t>
      </w:r>
    </w:p>
    <w:p>
      <w:pPr>
        <w:pStyle w:val="Normal"/>
        <w:numPr>
          <w:ilvl w:val="0"/>
          <w:numId w:val="22"/>
        </w:numPr>
        <w:ind w:left="0" w:firstLine="709"/>
        <w:jc w:val="both"/>
        <w:rPr>
          <w:bCs/>
          <w:sz w:val="24"/>
          <w:szCs w:val="24"/>
        </w:rPr>
      </w:pPr>
      <w:r>
        <w:rPr>
          <w:bCs/>
          <w:sz w:val="24"/>
          <w:szCs w:val="24"/>
        </w:rPr>
        <w:t>документ, содержащий указание на нарушения Принципалом обязательств, предусмотренных Договором;</w:t>
      </w:r>
    </w:p>
    <w:p>
      <w:pPr>
        <w:pStyle w:val="Normal"/>
        <w:numPr>
          <w:ilvl w:val="0"/>
          <w:numId w:val="22"/>
        </w:numPr>
        <w:ind w:left="0" w:firstLine="709"/>
        <w:jc w:val="both"/>
        <w:rPr>
          <w:bCs/>
          <w:sz w:val="24"/>
          <w:szCs w:val="24"/>
        </w:rPr>
      </w:pPr>
      <w:r>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ind w:firstLine="709"/>
        <w:jc w:val="both"/>
        <w:rPr>
          <w:bCs/>
          <w:sz w:val="24"/>
          <w:szCs w:val="24"/>
        </w:rPr>
      </w:pPr>
      <w:r>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ind w:firstLine="709"/>
        <w:jc w:val="both"/>
        <w:rPr>
          <w:bCs/>
          <w:sz w:val="24"/>
          <w:szCs w:val="24"/>
        </w:rPr>
      </w:pPr>
      <w:r>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ind w:firstLine="709"/>
        <w:jc w:val="both"/>
        <w:rPr>
          <w:bCs/>
          <w:sz w:val="24"/>
          <w:szCs w:val="24"/>
        </w:rPr>
      </w:pPr>
      <w:r>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22"/>
        </w:numPr>
        <w:ind w:left="0" w:firstLine="709"/>
        <w:jc w:val="both"/>
        <w:rPr>
          <w:bCs/>
          <w:sz w:val="24"/>
          <w:szCs w:val="24"/>
        </w:rPr>
      </w:pPr>
      <w:r>
        <w:rPr>
          <w:bCs/>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22"/>
        </w:numPr>
        <w:ind w:left="0" w:firstLine="709"/>
        <w:jc w:val="both"/>
        <w:rPr>
          <w:bCs/>
          <w:sz w:val="24"/>
          <w:szCs w:val="24"/>
        </w:rPr>
      </w:pPr>
      <w:r>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22"/>
        </w:numPr>
        <w:ind w:left="0" w:firstLine="709"/>
        <w:jc w:val="both"/>
        <w:rPr>
          <w:bCs/>
          <w:sz w:val="24"/>
          <w:szCs w:val="24"/>
        </w:rPr>
      </w:pPr>
      <w:r>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22"/>
        </w:numPr>
        <w:ind w:left="0" w:firstLine="709"/>
        <w:jc w:val="both"/>
        <w:rPr>
          <w:bCs/>
          <w:sz w:val="24"/>
          <w:szCs w:val="24"/>
        </w:rPr>
      </w:pPr>
      <w:r>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22"/>
        </w:numPr>
        <w:ind w:left="0" w:firstLine="709"/>
        <w:jc w:val="both"/>
        <w:rPr>
          <w:bCs/>
          <w:sz w:val="24"/>
          <w:szCs w:val="24"/>
        </w:rPr>
      </w:pPr>
      <w:r>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22"/>
        </w:numPr>
        <w:ind w:left="0" w:firstLine="709"/>
        <w:jc w:val="both"/>
        <w:rPr>
          <w:bCs/>
          <w:sz w:val="24"/>
          <w:szCs w:val="24"/>
        </w:rPr>
      </w:pPr>
      <w:r>
        <w:rPr>
          <w:bCs/>
          <w:sz w:val="24"/>
          <w:szCs w:val="24"/>
        </w:rPr>
        <w:t>введения арбитражным судом процедуры несостоятельности (банкротства) в отношении Принципала;</w:t>
      </w:r>
    </w:p>
    <w:p>
      <w:pPr>
        <w:pStyle w:val="Normal"/>
        <w:numPr>
          <w:ilvl w:val="0"/>
          <w:numId w:val="22"/>
        </w:numPr>
        <w:ind w:left="0" w:firstLine="709"/>
        <w:jc w:val="both"/>
        <w:rPr>
          <w:bCs/>
          <w:sz w:val="24"/>
          <w:szCs w:val="24"/>
        </w:rPr>
      </w:pPr>
      <w:r>
        <w:rPr>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22"/>
        </w:numPr>
        <w:ind w:left="0" w:firstLine="709"/>
        <w:jc w:val="both"/>
        <w:rPr>
          <w:bCs/>
          <w:sz w:val="24"/>
          <w:szCs w:val="24"/>
        </w:rPr>
      </w:pPr>
      <w:r>
        <w:rPr>
          <w:bCs/>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22"/>
        </w:numPr>
        <w:ind w:left="0" w:firstLine="709"/>
        <w:jc w:val="both"/>
        <w:rPr>
          <w:bCs/>
          <w:sz w:val="24"/>
          <w:szCs w:val="24"/>
        </w:rPr>
      </w:pPr>
      <w:r>
        <w:rPr>
          <w:bCs/>
          <w:sz w:val="24"/>
          <w:szCs w:val="24"/>
        </w:rPr>
        <w:t>непредоставления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ind w:firstLine="709"/>
        <w:jc w:val="both"/>
        <w:rPr>
          <w:bCs/>
          <w:sz w:val="24"/>
          <w:szCs w:val="24"/>
        </w:rPr>
      </w:pPr>
      <w:r>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ind w:firstLine="709"/>
        <w:jc w:val="both"/>
        <w:rPr>
          <w:bCs/>
          <w:sz w:val="24"/>
          <w:szCs w:val="24"/>
        </w:rPr>
      </w:pPr>
      <w:r>
        <w:rPr>
          <w:bCs/>
          <w:sz w:val="24"/>
          <w:szCs w:val="24"/>
        </w:rPr>
        <w:t>в) текст Независимой гарантии должен содержать перечень Документов к требованию.</w:t>
      </w:r>
    </w:p>
    <w:p>
      <w:pPr>
        <w:pStyle w:val="Normal"/>
        <w:ind w:firstLine="709"/>
        <w:jc w:val="both"/>
        <w:rPr>
          <w:bCs/>
          <w:sz w:val="24"/>
          <w:szCs w:val="24"/>
        </w:rPr>
      </w:pPr>
      <w:r>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ind w:firstLine="709"/>
        <w:jc w:val="both"/>
        <w:rPr>
          <w:bCs/>
          <w:sz w:val="24"/>
          <w:szCs w:val="24"/>
        </w:rPr>
      </w:pPr>
      <w:r>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ind w:firstLine="709"/>
        <w:jc w:val="both"/>
        <w:rPr>
          <w:bCs/>
          <w:sz w:val="24"/>
          <w:szCs w:val="24"/>
        </w:rPr>
      </w:pPr>
      <w:r>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pPr>
        <w:pStyle w:val="Normal"/>
        <w:ind w:firstLine="709"/>
        <w:jc w:val="both"/>
        <w:rPr>
          <w:bCs/>
          <w:sz w:val="24"/>
          <w:szCs w:val="24"/>
        </w:rPr>
      </w:pPr>
      <w:r>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ind w:firstLine="709"/>
        <w:jc w:val="both"/>
        <w:rPr>
          <w:bCs/>
          <w:sz w:val="24"/>
          <w:szCs w:val="24"/>
        </w:rPr>
      </w:pPr>
      <w:r>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Pr>
          <w:bCs/>
          <w:sz w:val="24"/>
          <w:szCs w:val="24"/>
          <w:vertAlign w:val="superscript"/>
        </w:rPr>
        <w:t>34</w:t>
      </w:r>
      <w:r>
        <w:rPr>
          <w:bCs/>
          <w:sz w:val="24"/>
          <w:szCs w:val="24"/>
        </w:rPr>
        <w:t>;</w:t>
      </w:r>
    </w:p>
    <w:p>
      <w:pPr>
        <w:pStyle w:val="Normal"/>
        <w:ind w:firstLine="709"/>
        <w:jc w:val="both"/>
        <w:rPr>
          <w:bCs/>
          <w:sz w:val="24"/>
          <w:szCs w:val="24"/>
        </w:rPr>
      </w:pPr>
      <w:r>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ind w:firstLine="709"/>
        <w:jc w:val="both"/>
        <w:rPr>
          <w:bCs/>
          <w:sz w:val="24"/>
          <w:szCs w:val="24"/>
        </w:rPr>
      </w:pPr>
      <w:r>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ind w:firstLine="709"/>
        <w:jc w:val="both"/>
        <w:rPr>
          <w:bCs/>
          <w:sz w:val="24"/>
          <w:szCs w:val="24"/>
        </w:rPr>
      </w:pPr>
      <w:r>
        <w:rPr>
          <w:bCs/>
          <w:sz w:val="24"/>
          <w:szCs w:val="24"/>
        </w:rPr>
      </w:r>
    </w:p>
    <w:p>
      <w:pPr>
        <w:pStyle w:val="Normal"/>
        <w:ind w:firstLine="709"/>
        <w:jc w:val="both"/>
        <w:rPr>
          <w:bCs/>
          <w:sz w:val="24"/>
          <w:szCs w:val="24"/>
        </w:rPr>
      </w:pPr>
      <w:r>
        <w:rPr>
          <w:bCs/>
          <w:sz w:val="24"/>
          <w:szCs w:val="24"/>
        </w:rPr>
        <w:t>Независимая гарантия не должна содержать условия:</w:t>
      </w:r>
    </w:p>
    <w:p>
      <w:pPr>
        <w:pStyle w:val="Normal"/>
        <w:ind w:firstLine="709"/>
        <w:jc w:val="both"/>
        <w:rPr>
          <w:bCs/>
          <w:sz w:val="24"/>
          <w:szCs w:val="24"/>
        </w:rPr>
      </w:pPr>
      <w:r>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ind w:firstLine="709"/>
        <w:jc w:val="both"/>
        <w:rPr>
          <w:bCs/>
          <w:sz w:val="24"/>
          <w:szCs w:val="24"/>
        </w:rPr>
      </w:pPr>
      <w:r>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ind w:firstLine="709"/>
        <w:jc w:val="both"/>
        <w:rPr>
          <w:bCs/>
          <w:sz w:val="24"/>
          <w:szCs w:val="24"/>
        </w:rPr>
      </w:pPr>
      <w:r>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ind w:firstLine="709"/>
        <w:jc w:val="both"/>
        <w:rPr>
          <w:bCs/>
          <w:sz w:val="24"/>
          <w:szCs w:val="24"/>
        </w:rPr>
      </w:pPr>
      <w:r>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ind w:firstLine="709"/>
        <w:jc w:val="both"/>
        <w:rPr>
          <w:bCs/>
          <w:sz w:val="24"/>
          <w:szCs w:val="24"/>
        </w:rPr>
      </w:pPr>
      <w:r>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bCs/>
          <w:sz w:val="24"/>
          <w:szCs w:val="24"/>
        </w:rPr>
      </w:pPr>
      <w:r>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bCs/>
          <w:sz w:val="24"/>
          <w:szCs w:val="24"/>
        </w:rPr>
        <w:t>уплатить Бенефициару неустойку (пени) в размере 0,1 процента денежной суммы, подлежащей уплате по Независимой гарантии.</w:t>
      </w:r>
    </w:p>
    <w:p>
      <w:pPr>
        <w:pStyle w:val="Normal"/>
        <w:ind w:firstLine="709"/>
        <w:jc w:val="both"/>
        <w:rPr>
          <w:bCs/>
          <w:sz w:val="24"/>
          <w:szCs w:val="24"/>
        </w:rPr>
      </w:pPr>
      <w:r>
        <w:rPr>
          <w:bCs/>
          <w:sz w:val="24"/>
          <w:szCs w:val="24"/>
        </w:rPr>
        <w:t>Условия Независимых гарантий не должны противоречить:</w:t>
      </w:r>
    </w:p>
    <w:p>
      <w:pPr>
        <w:pStyle w:val="Normal"/>
        <w:numPr>
          <w:ilvl w:val="0"/>
          <w:numId w:val="22"/>
        </w:numPr>
        <w:ind w:left="0" w:firstLine="709"/>
        <w:jc w:val="both"/>
        <w:rPr>
          <w:bCs/>
          <w:sz w:val="24"/>
          <w:szCs w:val="24"/>
        </w:rPr>
      </w:pPr>
      <w:r>
        <w:rPr>
          <w:bCs/>
          <w:sz w:val="24"/>
          <w:szCs w:val="24"/>
        </w:rPr>
        <w:t xml:space="preserve">положениям извещения об осуществлении конкурентной закупки, </w:t>
      </w:r>
    </w:p>
    <w:p>
      <w:pPr>
        <w:pStyle w:val="Normal"/>
        <w:numPr>
          <w:ilvl w:val="0"/>
          <w:numId w:val="22"/>
        </w:numPr>
        <w:ind w:left="0" w:firstLine="709"/>
        <w:jc w:val="both"/>
        <w:rPr>
          <w:bCs/>
          <w:sz w:val="24"/>
          <w:szCs w:val="24"/>
        </w:rPr>
      </w:pPr>
      <w:r>
        <w:rPr>
          <w:bCs/>
          <w:sz w:val="24"/>
          <w:szCs w:val="24"/>
        </w:rPr>
        <w:t xml:space="preserve">документации о конкурентной закупке </w:t>
      </w:r>
    </w:p>
    <w:p>
      <w:pPr>
        <w:pStyle w:val="Normal"/>
        <w:numPr>
          <w:ilvl w:val="0"/>
          <w:numId w:val="22"/>
        </w:numPr>
        <w:ind w:left="0" w:firstLine="709"/>
        <w:jc w:val="both"/>
        <w:rPr>
          <w:bCs/>
          <w:sz w:val="24"/>
          <w:szCs w:val="24"/>
        </w:rPr>
      </w:pPr>
      <w:r>
        <w:rPr>
          <w:bCs/>
          <w:sz w:val="24"/>
          <w:szCs w:val="24"/>
        </w:rPr>
        <w:t xml:space="preserve">Единому Положению о закупке продукции для нужд Группы РусГидро, </w:t>
      </w:r>
    </w:p>
    <w:p>
      <w:pPr>
        <w:pStyle w:val="Normal"/>
        <w:numPr>
          <w:ilvl w:val="0"/>
          <w:numId w:val="22"/>
        </w:numPr>
        <w:ind w:left="0" w:firstLine="709"/>
        <w:jc w:val="both"/>
        <w:rPr>
          <w:bCs/>
          <w:sz w:val="24"/>
          <w:szCs w:val="24"/>
        </w:rPr>
      </w:pPr>
      <w:r>
        <w:rPr>
          <w:bCs/>
          <w:sz w:val="24"/>
          <w:szCs w:val="24"/>
        </w:rPr>
        <w:t>требованиям к условиям Независимой гарантий, установленным Положением.</w:t>
      </w:r>
    </w:p>
    <w:p>
      <w:pPr>
        <w:pStyle w:val="Normal"/>
        <w:ind w:firstLine="709"/>
        <w:jc w:val="both"/>
        <w:rPr>
          <w:bCs/>
          <w:sz w:val="24"/>
          <w:szCs w:val="24"/>
        </w:rPr>
      </w:pPr>
      <w:r>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pPr>
        <w:pStyle w:val="BodyText"/>
        <w:numPr>
          <w:ilvl w:val="0"/>
          <w:numId w:val="0"/>
        </w:numPr>
        <w:outlineLvl w:val="0"/>
        <w:rPr>
          <w:bCs/>
          <w:sz w:val="24"/>
          <w:szCs w:val="28"/>
        </w:rPr>
      </w:pPr>
      <w:r>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widowControl/>
        <w:shd w:val="clear" w:color="auto" w:fill="FFFFFF"/>
        <w:tabs>
          <w:tab w:val="clear" w:pos="720"/>
          <w:tab w:val="left" w:pos="709" w:leader="none"/>
        </w:tabs>
        <w:spacing w:before="0" w:after="120"/>
        <w:ind w:left="360" w:hanging="0"/>
        <w:contextualSpacing/>
        <w:jc w:val="both"/>
        <w:rPr>
          <w:bCs/>
          <w:sz w:val="24"/>
          <w:szCs w:val="28"/>
        </w:rPr>
      </w:pPr>
      <w:r>
        <w:rPr>
          <w:bCs/>
          <w:sz w:val="24"/>
          <w:szCs w:val="28"/>
        </w:rPr>
      </w:r>
    </w:p>
    <w:p>
      <w:pPr>
        <w:pStyle w:val="Normal"/>
        <w:shd w:val="clear" w:color="auto" w:fill="FFFFFF"/>
        <w:tabs>
          <w:tab w:val="clear" w:pos="720"/>
          <w:tab w:val="left" w:pos="709" w:leader="none"/>
        </w:tabs>
        <w:spacing w:before="0" w:after="120"/>
        <w:jc w:val="both"/>
        <w:rPr>
          <w:bCs/>
          <w:sz w:val="24"/>
          <w:szCs w:val="28"/>
        </w:rPr>
      </w:pPr>
      <w:r>
        <w:rPr>
          <w:bCs/>
          <w:sz w:val="24"/>
          <w:szCs w:val="28"/>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
                <w:bCs/>
                <w:sz w:val="24"/>
                <w:szCs w:val="28"/>
                <w:u w:val="single"/>
              </w:rPr>
            </w:pPr>
            <w:r>
              <w:rPr>
                <w:b/>
                <w:bCs/>
                <w:sz w:val="24"/>
                <w:szCs w:val="28"/>
                <w:u w:val="single"/>
              </w:rPr>
              <w:t>Покупатель</w:t>
            </w:r>
            <w:r>
              <w:rPr>
                <w:b/>
                <w:bCs/>
                <w:sz w:val="24"/>
                <w:szCs w:val="28"/>
                <w:u w:val="single"/>
                <w:lang w:val="en-US"/>
              </w:rPr>
              <w:t>:</w:t>
            </w:r>
          </w:p>
          <w:p>
            <w:pPr>
              <w:pStyle w:val="Normal"/>
              <w:widowControl w:val="false"/>
              <w:shd w:val="clear" w:color="auto" w:fill="FFFFFF"/>
              <w:tabs>
                <w:tab w:val="clear" w:pos="720"/>
                <w:tab w:val="left" w:pos="709" w:leader="none"/>
              </w:tabs>
              <w:spacing w:before="0" w:after="120"/>
              <w:jc w:val="both"/>
              <w:rPr>
                <w:b/>
                <w:bCs/>
                <w:sz w:val="24"/>
                <w:szCs w:val="28"/>
                <w:u w:val="single"/>
              </w:rPr>
            </w:pPr>
            <w:r>
              <w:rPr>
                <w:b/>
                <w:bCs/>
                <w:sz w:val="24"/>
                <w:szCs w:val="28"/>
                <w:u w:val="single"/>
              </w:rPr>
            </w:r>
          </w:p>
        </w:tc>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
                <w:bCs/>
                <w:sz w:val="24"/>
                <w:szCs w:val="28"/>
                <w:u w:val="single"/>
              </w:rPr>
            </w:pPr>
            <w:r>
              <w:rPr>
                <w:b/>
                <w:bCs/>
                <w:sz w:val="24"/>
                <w:szCs w:val="28"/>
                <w:u w:val="single"/>
              </w:rPr>
              <w:t>Поставщик</w:t>
            </w:r>
            <w:r>
              <w:rPr>
                <w:b/>
                <w:bCs/>
                <w:sz w:val="24"/>
                <w:szCs w:val="28"/>
                <w:u w:val="single"/>
                <w:lang w:val="en-US"/>
              </w:rPr>
              <w:t>:</w:t>
            </w:r>
          </w:p>
          <w:p>
            <w:pPr>
              <w:pStyle w:val="Normal"/>
              <w:widowControl w:val="false"/>
              <w:shd w:val="clear" w:color="auto" w:fill="FFFFFF"/>
              <w:tabs>
                <w:tab w:val="clear" w:pos="720"/>
                <w:tab w:val="left" w:pos="709" w:leader="none"/>
              </w:tabs>
              <w:spacing w:before="0" w:after="120"/>
              <w:jc w:val="both"/>
              <w:rPr>
                <w:bCs/>
                <w:sz w:val="24"/>
                <w:szCs w:val="28"/>
                <w:u w:val="single"/>
              </w:rPr>
            </w:pPr>
            <w:r>
              <w:rPr>
                <w:bCs/>
                <w:sz w:val="24"/>
                <w:szCs w:val="28"/>
                <w:u w:val="single"/>
              </w:rPr>
            </w:r>
          </w:p>
        </w:tc>
      </w:tr>
      <w:tr>
        <w:trPr/>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 xml:space="preserve">_______________ / </w:t>
            </w:r>
            <w:r>
              <w:rPr>
                <w:bCs/>
                <w:sz w:val="24"/>
                <w:szCs w:val="28"/>
                <w:lang w:val="en-US"/>
              </w:rPr>
              <w:t>____________</w:t>
            </w:r>
            <w:r>
              <w:rPr>
                <w:bCs/>
                <w:sz w:val="24"/>
                <w:szCs w:val="28"/>
              </w:rPr>
              <w:t>/</w:t>
            </w:r>
          </w:p>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м.п.</w:t>
            </w:r>
          </w:p>
        </w:tc>
        <w:tc>
          <w:tcPr>
            <w:tcW w:w="4785" w:type="dxa"/>
            <w:tcBorders/>
            <w:shd w:color="auto" w:fill="FFFFFF" w:themeFill="background1" w:val="clear"/>
          </w:tcPr>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_____________ /_____________/</w:t>
            </w:r>
          </w:p>
          <w:p>
            <w:pPr>
              <w:pStyle w:val="Normal"/>
              <w:widowControl w:val="false"/>
              <w:shd w:val="clear" w:color="auto" w:fill="FFFFFF"/>
              <w:tabs>
                <w:tab w:val="clear" w:pos="720"/>
                <w:tab w:val="left" w:pos="709" w:leader="none"/>
              </w:tabs>
              <w:spacing w:before="0" w:after="120"/>
              <w:jc w:val="both"/>
              <w:rPr>
                <w:bCs/>
                <w:sz w:val="24"/>
                <w:szCs w:val="28"/>
              </w:rPr>
            </w:pPr>
            <w:r>
              <w:rPr>
                <w:bCs/>
                <w:sz w:val="24"/>
                <w:szCs w:val="28"/>
              </w:rPr>
              <w:t>м.п.</w:t>
            </w:r>
          </w:p>
        </w:tc>
      </w:tr>
    </w:tbl>
    <w:p>
      <w:pPr>
        <w:pStyle w:val="Normal"/>
        <w:shd w:val="clear" w:color="auto" w:fill="FFFFFF"/>
        <w:tabs>
          <w:tab w:val="clear" w:pos="720"/>
          <w:tab w:val="left" w:pos="709" w:leader="none"/>
        </w:tabs>
        <w:spacing w:before="0" w:after="120"/>
        <w:jc w:val="both"/>
        <w:rPr>
          <w:bCs/>
          <w:sz w:val="24"/>
          <w:szCs w:val="28"/>
        </w:rPr>
      </w:pPr>
      <w:r>
        <w:rPr>
          <w:bCs/>
          <w:sz w:val="24"/>
          <w:szCs w:val="28"/>
        </w:rPr>
      </w:r>
    </w:p>
    <w:p>
      <w:pPr>
        <w:pStyle w:val="Normal"/>
        <w:widowControl w:val="false"/>
        <w:shd w:val="clear" w:color="auto" w:fill="FFFFFF"/>
        <w:tabs>
          <w:tab w:val="clear" w:pos="720"/>
          <w:tab w:val="left" w:pos="3054" w:leader="none"/>
        </w:tabs>
        <w:spacing w:before="0" w:after="120"/>
        <w:jc w:val="center"/>
        <w:rPr>
          <w:bCs/>
          <w:sz w:val="24"/>
          <w:szCs w:val="28"/>
        </w:rPr>
      </w:pPr>
      <w:r>
        <w:rPr/>
      </w:r>
      <w:bookmarkStart w:id="9" w:name="_GoBack"/>
      <w:bookmarkStart w:id="10" w:name="_GoBack"/>
      <w:bookmarkEnd w:id="10"/>
    </w:p>
    <w:sectPr>
      <w:headerReference w:type="default" r:id="rId13"/>
      <w:headerReference w:type="first" r:id="rId14"/>
      <w:footerReference w:type="default" r:id="rId15"/>
      <w:footerReference w:type="first" r:id="rId16"/>
      <w:footnotePr>
        <w:numFmt w:val="decimal"/>
      </w:footnotePr>
      <w:type w:val="nextPage"/>
      <w:pgSz w:w="11906" w:h="16838"/>
      <w:pgMar w:left="1134" w:right="1416" w:gutter="0" w:header="720" w:top="777" w:footer="720" w:bottom="777"/>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5"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6" name="Врезка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r>
      <mc:AlternateContent>
        <mc:Choice Requires="wps">
          <w:drawing>
            <wp:anchor behindDoc="0" distT="0" distB="0" distL="0" distR="0" simplePos="0" locked="0" layoutInCell="0" allowOverlap="1" relativeHeight="33">
              <wp:simplePos x="0" y="0"/>
              <wp:positionH relativeFrom="margin">
                <wp:align>right</wp:align>
              </wp:positionH>
              <wp:positionV relativeFrom="paragraph">
                <wp:posOffset>635</wp:posOffset>
              </wp:positionV>
              <wp:extent cx="127635" cy="146685"/>
              <wp:effectExtent l="0" t="0" r="0" b="0"/>
              <wp:wrapSquare wrapText="bothSides"/>
              <wp:docPr id="7" name="Врезка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7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9"/>
        </w:rPr>
        <w:footnoteRef/>
      </w:r>
      <w:r>
        <w:rPr/>
        <w:t xml:space="preserve"> </w:t>
      </w:r>
      <w:r>
        <w:rPr/>
        <w:t>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4">
    <w:p>
      <w:pPr>
        <w:pStyle w:val="FootnoteText"/>
        <w:jc w:val="both"/>
        <w:rPr/>
      </w:pPr>
      <w:r>
        <w:rPr>
          <w:rStyle w:val="Style9"/>
        </w:rPr>
        <w:footnoteRef/>
      </w:r>
      <w:r>
        <w:rPr/>
        <w:t xml:space="preserve"> </w:t>
      </w:r>
      <w:r>
        <w:rPr/>
        <w:t>Актуальный Перечень Банков-Гарантов Группы РусГидро размещен на официальном сайте ПАО «РусГидро» http://zakupki.rushydro.ru/PublicContent/Section/6</w:t>
      </w:r>
    </w:p>
  </w:footnote>
  <w:footnote w:id="5">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6">
    <w:p>
      <w:pPr>
        <w:pStyle w:val="FootnoteText"/>
        <w:jc w:val="both"/>
        <w:rPr/>
      </w:pPr>
      <w:r>
        <w:rPr>
          <w:rStyle w:val="Style9"/>
        </w:rPr>
        <w:footnoteRef/>
      </w:r>
      <w:r>
        <w:rPr/>
        <w:t xml:space="preserve"> </w:t>
      </w:r>
      <w:r>
        <w:rPr/>
        <w:t>Данное требование не применяется в отношении небанковских кредитных организаций.</w:t>
      </w:r>
    </w:p>
  </w:footnote>
  <w:footnote w:id="7">
    <w:p>
      <w:pPr>
        <w:pStyle w:val="FootnoteText"/>
        <w:jc w:val="both"/>
        <w:rPr/>
      </w:pPr>
      <w:r>
        <w:rPr>
          <w:rStyle w:val="Style9"/>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8">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9">
    <w:p>
      <w:pPr>
        <w:pStyle w:val="FootnoteText"/>
        <w:jc w:val="both"/>
        <w:rPr/>
      </w:pPr>
      <w:r>
        <w:rPr>
          <w:rStyle w:val="Style9"/>
        </w:rPr>
        <w:footnoteRef/>
      </w:r>
      <w:r>
        <w:rPr/>
        <w:t xml:space="preserve"> </w:t>
      </w:r>
      <w:r>
        <w:rPr/>
        <w:t>Условия подлежат обязательному включению в состав документации о закупке.</w:t>
      </w:r>
    </w:p>
  </w:footnote>
  <w:footnote w:id="10">
    <w:p>
      <w:pPr>
        <w:pStyle w:val="FootnoteText"/>
        <w:jc w:val="both"/>
        <w:rPr/>
      </w:pPr>
      <w:r>
        <w:rPr>
          <w:rStyle w:val="Style9"/>
        </w:rPr>
        <w:footnoteRef/>
      </w:r>
      <w:r>
        <w:rPr/>
        <w:t xml:space="preserve"> </w:t>
      </w:r>
      <w:r>
        <w:rPr/>
        <w:t>Если условиями Договора предусмотрена банковская гарантия надлежащего исполнения гарантийных обязательств.</w:t>
      </w:r>
    </w:p>
  </w:footnote>
  <w:footnote w:id="11">
    <w:p>
      <w:pPr>
        <w:pStyle w:val="FootnoteText"/>
        <w:rPr/>
      </w:pPr>
      <w:r>
        <w:rPr>
          <w:rStyle w:val="Style9"/>
        </w:rPr>
        <w:footnoteRef/>
      </w:r>
      <w:r>
        <w:rPr/>
        <w:t xml:space="preserve"> </w:t>
      </w:r>
      <w:r>
        <w:rPr/>
        <w:t>В соответствии со ст. 753 Гражданского кодекса Российской Федерации.</w:t>
      </w:r>
    </w:p>
  </w:footnote>
  <w:footnote w:id="12">
    <w:p>
      <w:pPr>
        <w:pStyle w:val="FootnoteText"/>
        <w:jc w:val="both"/>
        <w:rPr/>
      </w:pPr>
      <w:r>
        <w:rPr>
          <w:rStyle w:val="Style9"/>
        </w:rPr>
        <w:footnoteRef/>
      </w:r>
      <w:r>
        <w:rPr/>
        <w:t xml:space="preserve"> </w:t>
      </w:r>
      <w:r>
        <w:rPr/>
        <w:t>При издании ПО организационно-распорядительного документа о ТФУ указывается наименование и местонахождение соответствующего судебного органа.</w:t>
      </w:r>
    </w:p>
  </w:footnote>
  <w:footnote w:id="13">
    <w:p>
      <w:pPr>
        <w:pStyle w:val="FootnoteText"/>
        <w:jc w:val="both"/>
        <w:rPr/>
      </w:pPr>
      <w:r>
        <w:rPr>
          <w:rStyle w:val="Style9"/>
        </w:rPr>
        <w:footnoteRef/>
      </w:r>
      <w:r>
        <w:rPr/>
        <w:t xml:space="preserve"> </w:t>
      </w:r>
      <w:r>
        <w:rPr/>
        <w:t>Условия подлежат обязательному включению в состав документации о закупке.</w:t>
      </w:r>
    </w:p>
  </w:footnote>
  <w:footnote w:id="14">
    <w:p>
      <w:pPr>
        <w:pStyle w:val="FootnoteText"/>
        <w:jc w:val="both"/>
        <w:rPr/>
      </w:pPr>
      <w:r>
        <w:rPr>
          <w:rStyle w:val="Style9"/>
        </w:rPr>
        <w:footnoteRef/>
      </w:r>
      <w:r>
        <w:rPr/>
        <w:t xml:space="preserve"> </w:t>
      </w:r>
      <w:r>
        <w:rPr/>
        <w:t>Если условиями Договора предусмотрена банковская гарантия надлежащего исполнения гарантийных обязательств.</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decimal"/>
      <w:lvlText w:val="%1."/>
      <w:lvlJc w:val="left"/>
      <w:pPr>
        <w:tabs>
          <w:tab w:val="num" w:pos="786"/>
        </w:tabs>
        <w:ind w:left="786"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9">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7"/>
      <w:numFmt w:val="decimal"/>
      <w:lvlText w:val="%1."/>
      <w:lvlJc w:val="left"/>
      <w:pPr>
        <w:tabs>
          <w:tab w:val="num" w:pos="0"/>
        </w:tabs>
        <w:ind w:left="360" w:hanging="360"/>
      </w:pPr>
      <w:rPr/>
    </w:lvl>
    <w:lvl w:ilvl="1">
      <w:start w:val="1"/>
      <w:numFmt w:val="decimal"/>
      <w:lvlText w:val="%1.%2."/>
      <w:lvlJc w:val="left"/>
      <w:pPr>
        <w:tabs>
          <w:tab w:val="num" w:pos="0"/>
        </w:tabs>
        <w:ind w:left="1353" w:hanging="360"/>
      </w:pPr>
      <w:rPr>
        <w:sz w:val="24"/>
        <w:szCs w:val="24"/>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4046" w:hanging="360"/>
      </w:pPr>
      <w:rPr/>
    </w:lvl>
    <w:lvl w:ilvl="1">
      <w:start w:val="1"/>
      <w:numFmt w:val="decimal"/>
      <w:lvlText w:val="%2."/>
      <w:lvlJc w:val="left"/>
      <w:pPr>
        <w:tabs>
          <w:tab w:val="num" w:pos="0"/>
        </w:tabs>
        <w:ind w:left="4756" w:hanging="720"/>
      </w:pPr>
      <w:rPr/>
    </w:lvl>
    <w:lvl w:ilvl="2">
      <w:start w:val="1"/>
      <w:numFmt w:val="decimal"/>
      <w:lvlText w:val="%1.%2.%3."/>
      <w:lvlJc w:val="left"/>
      <w:pPr>
        <w:tabs>
          <w:tab w:val="num" w:pos="0"/>
        </w:tabs>
        <w:ind w:left="4472" w:hanging="720"/>
      </w:pPr>
      <w:rPr>
        <w:b w:val="false"/>
      </w:rPr>
    </w:lvl>
    <w:lvl w:ilvl="3">
      <w:start w:val="1"/>
      <w:numFmt w:val="decimal"/>
      <w:lvlText w:val="%1.%2.%3.%4."/>
      <w:lvlJc w:val="left"/>
      <w:pPr>
        <w:tabs>
          <w:tab w:val="num" w:pos="0"/>
        </w:tabs>
        <w:ind w:left="4832" w:hanging="1080"/>
      </w:pPr>
      <w:rPr/>
    </w:lvl>
    <w:lvl w:ilvl="4">
      <w:start w:val="1"/>
      <w:numFmt w:val="decimal"/>
      <w:lvlText w:val="%1.%2.%3.%4.%5."/>
      <w:lvlJc w:val="left"/>
      <w:pPr>
        <w:tabs>
          <w:tab w:val="num" w:pos="0"/>
        </w:tabs>
        <w:ind w:left="4766" w:hanging="1080"/>
      </w:pPr>
      <w:rPr/>
    </w:lvl>
    <w:lvl w:ilvl="5">
      <w:start w:val="1"/>
      <w:numFmt w:val="decimal"/>
      <w:lvlText w:val="%1.%2.%3.%4.%5.%6."/>
      <w:lvlJc w:val="left"/>
      <w:pPr>
        <w:tabs>
          <w:tab w:val="num" w:pos="0"/>
        </w:tabs>
        <w:ind w:left="5126" w:hanging="1440"/>
      </w:pPr>
      <w:rPr/>
    </w:lvl>
    <w:lvl w:ilvl="6">
      <w:start w:val="1"/>
      <w:numFmt w:val="decimal"/>
      <w:lvlText w:val="%1.%2.%3.%4.%5.%6.%7."/>
      <w:lvlJc w:val="left"/>
      <w:pPr>
        <w:tabs>
          <w:tab w:val="num" w:pos="0"/>
        </w:tabs>
        <w:ind w:left="5486" w:hanging="1800"/>
      </w:pPr>
      <w:rPr/>
    </w:lvl>
    <w:lvl w:ilvl="7">
      <w:start w:val="1"/>
      <w:numFmt w:val="decimal"/>
      <w:lvlText w:val="%1.%2.%3.%4.%5.%6.%7.%8."/>
      <w:lvlJc w:val="left"/>
      <w:pPr>
        <w:tabs>
          <w:tab w:val="num" w:pos="0"/>
        </w:tabs>
        <w:ind w:left="5486" w:hanging="1800"/>
      </w:pPr>
      <w:rPr/>
    </w:lvl>
    <w:lvl w:ilvl="8">
      <w:start w:val="1"/>
      <w:numFmt w:val="decimal"/>
      <w:lvlText w:val="%1.%2.%3.%4.%5.%6.%7.%8.%9."/>
      <w:lvlJc w:val="left"/>
      <w:pPr>
        <w:tabs>
          <w:tab w:val="num" w:pos="0"/>
        </w:tabs>
        <w:ind w:left="5846" w:hanging="2160"/>
      </w:pPr>
      <w:rPr/>
    </w:lvl>
  </w:abstractNum>
  <w:abstractNum w:abstractNumId="21">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2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2"/>
      <w:numFmt w:val="decimal"/>
      <w:lvlText w:val="%1."/>
      <w:lvlJc w:val="left"/>
      <w:pPr>
        <w:tabs>
          <w:tab w:val="num" w:pos="5321"/>
        </w:tabs>
        <w:ind w:left="5321" w:hanging="360"/>
      </w:pPr>
      <w:rPr/>
    </w:lvl>
    <w:lvl w:ilvl="1">
      <w:start w:val="7"/>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4"/>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6"/>
      <w:numFmt w:val="decimal"/>
      <w:lvlText w:val="%1."/>
      <w:lvlJc w:val="left"/>
      <w:pPr>
        <w:tabs>
          <w:tab w:val="num" w:pos="5321"/>
        </w:tabs>
        <w:ind w:left="5321" w:hanging="360"/>
      </w:pPr>
      <w:rPr/>
    </w:lvl>
    <w:lvl w:ilvl="1">
      <w:start w:val="4"/>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8"/>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14dd"/>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99"/>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Текст концевой сноски Знак"/>
    <w:basedOn w:val="DefaultParagraphFont"/>
    <w:semiHidden/>
    <w:qFormat/>
    <w:rsid w:val="00af4229"/>
    <w:rPr/>
  </w:style>
  <w:style w:type="character" w:styleId="Style14">
    <w:name w:val="Символ концевой сноски"/>
    <w:basedOn w:val="DefaultParagraphFont"/>
    <w:semiHidden/>
    <w:unhideWhenUsed/>
    <w:qFormat/>
    <w:rsid w:val="00af4229"/>
    <w:rPr>
      <w:vertAlign w:val="superscript"/>
    </w:rPr>
  </w:style>
  <w:style w:type="character" w:styleId="EndnoteReference">
    <w:name w:val="Endnote Reference"/>
    <w:rPr>
      <w:vertAlign w:val="superscript"/>
    </w:rPr>
  </w:style>
  <w:style w:type="character" w:styleId="Style15" w:customStyle="1">
    <w:name w:val="Нижний колонтитул Знак"/>
    <w:basedOn w:val="DefaultParagraphFont"/>
    <w:uiPriority w:val="99"/>
    <w:qFormat/>
    <w:rsid w:val="008e4e3c"/>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8">
    <w:name w:val="Колонтитул"/>
    <w:basedOn w:val="Normal"/>
    <w:qFormat/>
    <w:pPr/>
    <w:rPr/>
  </w:style>
  <w:style w:type="paragraph" w:styleId="Footer">
    <w:name w:val="Footer"/>
    <w:basedOn w:val="Normal"/>
    <w:link w:val="Style15"/>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9"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99"/>
    <w:qFormat/>
    <w:rsid w:val="0066561f"/>
    <w:pPr>
      <w:widowControl w:val="false"/>
      <w:spacing w:before="0" w:after="0"/>
      <w:ind w:left="720" w:hanging="0"/>
      <w:contextualSpacing/>
    </w:pPr>
    <w:rPr/>
  </w:style>
  <w:style w:type="paragraph" w:styleId="Style20"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21"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2"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1"/>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1"/>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1"/>
      </w:numPr>
      <w:tabs>
        <w:tab w:val="left" w:pos="0" w:leader="none"/>
        <w:tab w:val="left" w:pos="1620" w:leader="none"/>
      </w:tabs>
      <w:overflowPunct w:val="true"/>
      <w:jc w:val="both"/>
      <w:textAlignment w:val="baseline"/>
    </w:pPr>
    <w:rPr>
      <w:bCs/>
      <w:sz w:val="24"/>
      <w:szCs w:val="24"/>
      <w:lang w:val="x-none" w:eastAsia="x-none"/>
    </w:rPr>
  </w:style>
  <w:style w:type="paragraph" w:styleId="EndnoteText">
    <w:name w:val="Endnote Text"/>
    <w:basedOn w:val="Normal"/>
    <w:link w:val="Style13"/>
    <w:semiHidden/>
    <w:unhideWhenUsed/>
    <w:rsid w:val="00af4229"/>
    <w:pPr/>
    <w:rPr/>
  </w:style>
  <w:style w:type="paragraph" w:styleId="Style23" w:customStyle="1">
    <w:name w:val="Таблица текст"/>
    <w:basedOn w:val="Normal"/>
    <w:uiPriority w:val="99"/>
    <w:qFormat/>
    <w:rsid w:val="0037105e"/>
    <w:pPr>
      <w:suppressAutoHyphens w:val="true"/>
      <w:spacing w:before="40" w:after="40"/>
      <w:ind w:left="57" w:right="57" w:hanging="0"/>
    </w:pPr>
    <w:rPr>
      <w:sz w:val="24"/>
      <w:szCs w:val="24"/>
    </w:rPr>
  </w:style>
  <w:style w:type="paragraph" w:styleId="Style24" w:customStyle="1">
    <w:name w:val="Таблица"/>
    <w:basedOn w:val="Normal"/>
    <w:uiPriority w:val="99"/>
    <w:qFormat/>
    <w:rsid w:val="0063198b"/>
    <w:pPr>
      <w:keepNext w:val="true"/>
      <w:spacing w:before="60" w:after="60"/>
      <w:jc w:val="center"/>
    </w:pPr>
    <w:rPr>
      <w:rFonts w:eastAsia="Calibri"/>
      <w:b/>
      <w:sz w:val="24"/>
      <w:szCs w:val="24"/>
      <w:lang w:val="x-none" w:eastAsia="x-none"/>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yperlink" Target="http://www.cbr.ru/"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4C41-7847-4E27-8565-A8092840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Application>AlterOffice/2025.3.1.0$Linux_X86_64 LibreOffice_project/431cd1b79110582f53535c95ed0a2449aadc8bf9</Application>
  <AppVersion>15.0000</AppVersion>
  <Pages>31</Pages>
  <Words>10464</Words>
  <Characters>74227</Characters>
  <CharactersWithSpaces>84198</CharactersWithSpaces>
  <Paragraphs>457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2023-04-07T10:06:00Z</dcterms:created>
  <dc:creator>Света &amp; Алла (Twix)</dc:creator>
  <dc:description/>
  <dc:language>ru-RU</dc:language>
  <cp:lastModifiedBy>Карасева Мария Владимировна</cp:lastModifiedBy>
  <cp:lastPrinted>2021-03-24T08:36:00Z</cp:lastPrinted>
  <dcterms:modified xsi:type="dcterms:W3CDTF">2026-02-03T09:06:00Z</dcterms:modified>
  <cp:revision>46</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