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jc w:val="center"/>
        <w:outlineLvl w:val="0"/>
        <w:rPr>
          <w:b/>
          <w:bCs/>
          <w:sz w:val="24"/>
          <w:szCs w:val="24"/>
          <w:lang w:val="en-US"/>
        </w:rPr>
      </w:pPr>
      <w:r>
        <w:rPr>
          <w:b/>
          <w:bCs/>
          <w:sz w:val="24"/>
          <w:szCs w:val="24"/>
        </w:rPr>
        <w:t>О</w:t>
      </w:r>
      <w:r>
        <w:rPr>
          <w:b/>
          <w:bCs/>
          <w:sz w:val="24"/>
          <w:szCs w:val="24"/>
          <w:lang w:val="en-US"/>
        </w:rPr>
        <w:t xml:space="preserve">бщие обязательные требования </w:t>
      </w:r>
    </w:p>
    <w:p>
      <w:pPr>
        <w:pStyle w:val="Normal"/>
        <w:keepNext w:val="true"/>
        <w:numPr>
          <w:ilvl w:val="0"/>
          <w:numId w:val="0"/>
        </w:numPr>
        <w:jc w:val="center"/>
        <w:outlineLvl w:val="0"/>
        <w:rPr>
          <w:b/>
          <w:bCs/>
          <w:sz w:val="24"/>
          <w:szCs w:val="24"/>
        </w:rPr>
      </w:pPr>
      <w:r>
        <w:rPr>
          <w:sz w:val="24"/>
          <w:szCs w:val="24"/>
        </w:rPr>
        <w:t xml:space="preserve"> </w:t>
      </w:r>
      <w:r>
        <w:rPr>
          <w:b/>
          <w:bCs/>
          <w:sz w:val="24"/>
          <w:szCs w:val="24"/>
        </w:rPr>
        <w:t xml:space="preserve">  </w:t>
      </w:r>
    </w:p>
    <w:tbl>
      <w:tblPr>
        <w:tblStyle w:val="affff6"/>
        <w:tblW w:w="878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0"/>
        <w:gridCol w:w="1847"/>
        <w:gridCol w:w="5"/>
        <w:gridCol w:w="6232"/>
      </w:tblGrid>
      <w:tr>
        <w:trPr>
          <w:trHeight w:val="990" w:hRule="atLeast"/>
        </w:trPr>
        <w:tc>
          <w:tcPr>
            <w:tcW w:w="700" w:type="dxa"/>
            <w:vMerge w:val="restart"/>
            <w:tcBorders/>
            <w:vAlign w:val="center"/>
          </w:tcPr>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ru-RU" w:eastAsia="ru-RU" w:bidi="ar-SA"/>
              </w:rPr>
              <w:t>п/п</w:t>
            </w:r>
          </w:p>
        </w:tc>
        <w:tc>
          <w:tcPr>
            <w:tcW w:w="1852" w:type="dxa"/>
            <w:gridSpan w:val="2"/>
            <w:vMerge w:val="restart"/>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r>
          </w:p>
        </w:tc>
        <w:tc>
          <w:tcPr>
            <w:tcW w:w="6232" w:type="dxa"/>
            <w:vMerge w:val="restart"/>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r>
          </w:p>
        </w:tc>
      </w:tr>
      <w:tr>
        <w:trPr>
          <w:trHeight w:val="276" w:hRule="atLeast"/>
        </w:trPr>
        <w:tc>
          <w:tcPr>
            <w:tcW w:w="700" w:type="dxa"/>
            <w:vMerge w:val="continue"/>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r>
          </w:p>
        </w:tc>
        <w:tc>
          <w:tcPr>
            <w:tcW w:w="1852" w:type="dxa"/>
            <w:gridSpan w:val="2"/>
            <w:vMerge w:val="continue"/>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r>
          </w:p>
        </w:tc>
        <w:tc>
          <w:tcPr>
            <w:tcW w:w="6232" w:type="dxa"/>
            <w:vMerge w:val="continue"/>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r>
          </w:p>
        </w:tc>
      </w:tr>
      <w:tr>
        <w:trPr>
          <w:trHeight w:val="221" w:hRule="atLeast"/>
        </w:trPr>
        <w:tc>
          <w:tcPr>
            <w:tcW w:w="700"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w:t>
            </w:r>
          </w:p>
        </w:tc>
        <w:tc>
          <w:tcPr>
            <w:tcW w:w="1852" w:type="dxa"/>
            <w:gridSpan w:val="2"/>
            <w:tcBorders/>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2</w:t>
            </w:r>
          </w:p>
        </w:tc>
        <w:tc>
          <w:tcPr>
            <w:tcW w:w="6232" w:type="dxa"/>
            <w:tcBorders/>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3</w:t>
            </w:r>
          </w:p>
        </w:tc>
      </w:tr>
      <w:tr>
        <w:trPr>
          <w:trHeight w:val="549" w:hRule="atLeast"/>
        </w:trPr>
        <w:tc>
          <w:tcPr>
            <w:tcW w:w="700" w:type="dxa"/>
            <w:tcBorders/>
            <w:vAlign w:val="center"/>
          </w:tcPr>
          <w:p>
            <w:pPr>
              <w:pStyle w:val="Normal"/>
              <w:widowControl w:val="false"/>
              <w:suppressAutoHyphens w:val="true"/>
              <w:spacing w:before="60" w:after="60"/>
              <w:jc w:val="left"/>
              <w:rPr>
                <w:b/>
                <w:sz w:val="24"/>
              </w:rPr>
            </w:pPr>
            <w:r>
              <w:rPr>
                <w:rFonts w:eastAsia="Times New Roman" w:cs="Times New Roman"/>
                <w:b/>
                <w:kern w:val="0"/>
                <w:sz w:val="24"/>
                <w:lang w:val="ru-RU" w:eastAsia="ru-RU" w:bidi="ar-SA"/>
              </w:rPr>
              <w:t>1.</w:t>
            </w:r>
          </w:p>
        </w:tc>
        <w:tc>
          <w:tcPr>
            <w:tcW w:w="8084" w:type="dxa"/>
            <w:gridSpan w:val="3"/>
            <w:tcBorders/>
          </w:tcPr>
          <w:p>
            <w:pPr>
              <w:pStyle w:val="Normal"/>
              <w:widowControl w:val="false"/>
              <w:suppressAutoHyphens w:val="true"/>
              <w:spacing w:before="0" w:after="0"/>
              <w:jc w:val="left"/>
              <w:rPr>
                <w:b/>
                <w:sz w:val="24"/>
              </w:rPr>
            </w:pPr>
            <w:r>
              <w:rPr>
                <w:rFonts w:eastAsia="Times New Roman" w:cs="Times New Roman"/>
                <w:b/>
                <w:kern w:val="0"/>
                <w:sz w:val="24"/>
                <w:lang w:val="ru-RU" w:eastAsia="ru-RU" w:bidi="ar-SA"/>
              </w:rPr>
              <w:t>Требования к срокам поставки продукции</w:t>
            </w:r>
          </w:p>
        </w:tc>
      </w:tr>
      <w:tr>
        <w:trPr>
          <w:trHeight w:val="421" w:hRule="atLeast"/>
        </w:trPr>
        <w:tc>
          <w:tcPr>
            <w:tcW w:w="700" w:type="dxa"/>
            <w:tcBorders/>
          </w:tcPr>
          <w:p>
            <w:pPr>
              <w:pStyle w:val="Normal"/>
              <w:widowControl w:val="false"/>
              <w:suppressAutoHyphens w:val="true"/>
              <w:spacing w:before="60" w:after="60"/>
              <w:jc w:val="both"/>
              <w:rPr>
                <w:sz w:val="24"/>
                <w:szCs w:val="24"/>
                <w:lang w:val="en-US"/>
              </w:rPr>
            </w:pPr>
            <w:r>
              <w:rPr>
                <w:rFonts w:eastAsia="Times New Roman" w:cs="Times New Roman"/>
                <w:kern w:val="0"/>
                <w:sz w:val="24"/>
                <w:szCs w:val="24"/>
                <w:lang w:val="ru-RU" w:eastAsia="ru-RU" w:bidi="ar-SA"/>
              </w:rPr>
              <w:t>1</w:t>
            </w:r>
            <w:r>
              <w:rPr>
                <w:rFonts w:eastAsia="Times New Roman" w:cs="Times New Roman"/>
                <w:kern w:val="0"/>
                <w:sz w:val="24"/>
                <w:szCs w:val="24"/>
                <w:lang w:val="en-US" w:eastAsia="ru-RU" w:bidi="ar-SA"/>
              </w:rPr>
              <w:t>.1.</w:t>
            </w:r>
          </w:p>
        </w:tc>
        <w:tc>
          <w:tcPr>
            <w:tcW w:w="1847" w:type="dxa"/>
            <w:tcBorders/>
            <w:shd w:color="auto" w:fill="auto" w:val="clear"/>
          </w:tcPr>
          <w:p>
            <w:pPr>
              <w:pStyle w:val="Normal"/>
              <w:widowControl w:val="false"/>
              <w:suppressAutoHyphens w:val="true"/>
              <w:spacing w:before="0" w:after="0"/>
              <w:jc w:val="left"/>
              <w:rPr>
                <w:rFonts w:ascii="ISOCPEUR" w:hAnsi="ISOCPEUR" w:cs="ISOCPEUR"/>
                <w:sz w:val="22"/>
                <w:szCs w:val="22"/>
                <w:lang w:val="en-US"/>
              </w:rPr>
            </w:pPr>
            <w:r>
              <w:rPr>
                <w:rFonts w:eastAsia="Times New Roman" w:cs="ISOCPEUR" w:ascii="ISOCPEUR" w:hAnsi="ISOCPEUR"/>
                <w:kern w:val="0"/>
                <w:sz w:val="22"/>
                <w:szCs w:val="22"/>
                <w:lang w:val="en-US" w:eastAsia="ru-RU" w:bidi="ar-SA"/>
              </w:rPr>
              <w:t>Срок поставки</w:t>
            </w:r>
          </w:p>
        </w:tc>
        <w:tc>
          <w:tcPr>
            <w:tcW w:w="6237" w:type="dxa"/>
            <w:gridSpan w:val="2"/>
            <w:tcBorders/>
            <w:shd w:color="auto" w:fill="auto" w:val="clear"/>
          </w:tcPr>
          <w:p>
            <w:pPr>
              <w:pStyle w:val="Normal"/>
              <w:widowControl w:val="false"/>
              <w:suppressAutoHyphens w:val="true"/>
              <w:spacing w:before="0" w:after="0"/>
              <w:jc w:val="left"/>
              <w:rPr>
                <w:rFonts w:ascii="ISOCPEUR" w:hAnsi="ISOCPEUR" w:cs="ISOCPEUR"/>
                <w:sz w:val="22"/>
                <w:szCs w:val="22"/>
              </w:rPr>
            </w:pPr>
            <w:r>
              <w:rPr>
                <w:rFonts w:eastAsia="Times New Roman" w:cs="" w:cstheme="majorBidi"/>
                <w:spacing w:val="-10"/>
                <w:kern w:val="0"/>
                <w:sz w:val="24"/>
                <w:szCs w:val="24"/>
                <w:lang w:val="ru-RU" w:eastAsia="ru-RU" w:bidi="ar-SA"/>
              </w:rPr>
              <w:t>Не позднее 30.06.2026г.</w:t>
            </w:r>
          </w:p>
        </w:tc>
      </w:tr>
      <w:tr>
        <w:trPr>
          <w:trHeight w:val="236" w:hRule="atLeast"/>
        </w:trPr>
        <w:tc>
          <w:tcPr>
            <w:tcW w:w="700" w:type="dxa"/>
            <w:tcBorders/>
          </w:tcPr>
          <w:p>
            <w:pPr>
              <w:pStyle w:val="Normal"/>
              <w:widowControl w:val="false"/>
              <w:suppressAutoHyphens w:val="true"/>
              <w:spacing w:before="60" w:after="60"/>
              <w:jc w:val="left"/>
              <w:rPr>
                <w:b/>
              </w:rPr>
            </w:pPr>
            <w:r>
              <w:rPr>
                <w:rFonts w:eastAsia="Times New Roman" w:cs="Times New Roman"/>
                <w:b/>
                <w:kern w:val="0"/>
                <w:lang w:val="ru-RU" w:eastAsia="ru-RU" w:bidi="ar-SA"/>
              </w:rPr>
              <w:t>2.</w:t>
            </w:r>
          </w:p>
        </w:tc>
        <w:tc>
          <w:tcPr>
            <w:tcW w:w="8084" w:type="dxa"/>
            <w:gridSpan w:val="3"/>
            <w:tcBorders/>
          </w:tcPr>
          <w:p>
            <w:pPr>
              <w:pStyle w:val="Normal"/>
              <w:widowControl w:val="false"/>
              <w:suppressAutoHyphens w:val="true"/>
              <w:spacing w:before="0" w:after="0"/>
              <w:jc w:val="left"/>
              <w:rPr>
                <w:b/>
              </w:rPr>
            </w:pPr>
            <w:r>
              <w:rPr>
                <w:rFonts w:eastAsia="Times New Roman" w:cs="" w:cstheme="majorBidi"/>
                <w:b/>
                <w:spacing w:val="-10"/>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rHeight w:val="236" w:hRule="atLeast"/>
        </w:trPr>
        <w:tc>
          <w:tcPr>
            <w:tcW w:w="700" w:type="dxa"/>
            <w:tcBorders/>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2.1.</w:t>
            </w:r>
          </w:p>
        </w:tc>
        <w:tc>
          <w:tcPr>
            <w:tcW w:w="1852" w:type="dxa"/>
            <w:gridSpan w:val="2"/>
            <w:tcBorders/>
            <w:shd w:color="auto" w:fill="auto" w:val="clear"/>
            <w:vAlign w:val="center"/>
          </w:tcPr>
          <w:p>
            <w:pPr>
              <w:pStyle w:val="Normal"/>
              <w:widowControl w:val="false"/>
              <w:suppressAutoHyphens w:val="true"/>
              <w:spacing w:before="0" w:after="0"/>
              <w:jc w:val="left"/>
              <w:rPr>
                <w:rFonts w:ascii="Times New Roman" w:hAnsi="Times New Roman" w:eastAsia="Times New Roman" w:cs="Times New Roman"/>
                <w:kern w:val="0"/>
                <w:lang w:eastAsia="ru-RU" w:bidi="ar-SA"/>
              </w:rPr>
            </w:pPr>
            <w:r>
              <w:rPr>
                <w:rFonts w:eastAsia="Times New Roman" w:cs="Times New Roman"/>
                <w:color w:val="000000"/>
                <w:kern w:val="0"/>
                <w:sz w:val="24"/>
                <w:szCs w:val="24"/>
                <w:lang w:val="ru-RU" w:eastAsia="ru-RU" w:bidi="ar-SA"/>
              </w:rPr>
              <w:t>М</w:t>
            </w:r>
            <w:r>
              <w:rPr>
                <w:rFonts w:eastAsia="Times New Roman" w:cs="Times New Roman"/>
                <w:color w:val="000000"/>
                <w:kern w:val="0"/>
                <w:sz w:val="24"/>
                <w:szCs w:val="24"/>
                <w:lang w:val="en-US" w:eastAsia="ru-RU" w:bidi="ar-SA"/>
              </w:rPr>
              <w:t xml:space="preserve">есто </w:t>
            </w:r>
            <w:r>
              <w:rPr>
                <w:rFonts w:eastAsia="Times New Roman" w:cs="Times New Roman"/>
                <w:color w:val="000000"/>
                <w:kern w:val="0"/>
                <w:sz w:val="24"/>
                <w:szCs w:val="24"/>
                <w:lang w:val="ru-RU" w:eastAsia="ru-RU" w:bidi="ar-SA"/>
              </w:rPr>
              <w:t>поставки</w:t>
            </w:r>
          </w:p>
        </w:tc>
        <w:tc>
          <w:tcPr>
            <w:tcW w:w="6232" w:type="dxa"/>
            <w:tcBorders/>
            <w:vAlign w:val="center"/>
          </w:tcPr>
          <w:p>
            <w:pPr>
              <w:pStyle w:val="Normal"/>
              <w:widowControl w:val="false"/>
              <w:suppressAutoHyphens w:val="true"/>
              <w:spacing w:before="0" w:after="0"/>
              <w:jc w:val="left"/>
              <w:rPr>
                <w:lang w:val="en-US"/>
              </w:rPr>
            </w:pPr>
            <w:r>
              <w:rPr>
                <w:rFonts w:eastAsia="Times New Roman" w:cs="" w:cstheme="majorBidi"/>
                <w:spacing w:val="-10"/>
                <w:kern w:val="0"/>
                <w:sz w:val="24"/>
                <w:szCs w:val="24"/>
                <w:lang w:val="ru-RU" w:eastAsia="ru-RU" w:bidi="ar-SA"/>
              </w:rPr>
              <w:t>690034, Российская Федерация, Приморский край, г. Владивосток, ул. Фадеева, 47</w:t>
            </w:r>
          </w:p>
        </w:tc>
      </w:tr>
      <w:tr>
        <w:trPr>
          <w:trHeight w:val="236" w:hRule="atLeast"/>
        </w:trPr>
        <w:tc>
          <w:tcPr>
            <w:tcW w:w="700" w:type="dxa"/>
            <w:tcBorders/>
          </w:tcPr>
          <w:p>
            <w:pPr>
              <w:pStyle w:val="Normal"/>
              <w:widowControl w:val="false"/>
              <w:suppressAutoHyphens w:val="true"/>
              <w:spacing w:before="60" w:after="60"/>
              <w:jc w:val="left"/>
              <w:rPr>
                <w:b/>
              </w:rPr>
            </w:pPr>
            <w:r>
              <w:rPr>
                <w:rFonts w:eastAsia="Times New Roman" w:cs="Times New Roman"/>
                <w:b/>
                <w:kern w:val="0"/>
                <w:lang w:val="ru-RU" w:eastAsia="ru-RU" w:bidi="ar-SA"/>
              </w:rPr>
              <w:t>3.</w:t>
            </w:r>
          </w:p>
        </w:tc>
        <w:tc>
          <w:tcPr>
            <w:tcW w:w="8084" w:type="dxa"/>
            <w:gridSpan w:val="3"/>
            <w:tcBorders/>
            <w:shd w:color="auto" w:fill="auto" w:val="clear"/>
            <w:vAlign w:val="center"/>
          </w:tcPr>
          <w:p>
            <w:pPr>
              <w:pStyle w:val="Normal"/>
              <w:widowControl w:val="false"/>
              <w:suppressAutoHyphens w:val="true"/>
              <w:spacing w:before="0" w:after="0"/>
              <w:jc w:val="left"/>
              <w:rPr>
                <w:rFonts w:cs="" w:cstheme="majorBidi"/>
                <w:b/>
                <w:spacing w:val="-10"/>
                <w:sz w:val="24"/>
                <w:szCs w:val="24"/>
              </w:rPr>
            </w:pPr>
            <w:r>
              <w:rPr>
                <w:rFonts w:eastAsia="Times New Roman" w:cs="" w:cstheme="majorBidi"/>
                <w:b/>
                <w:spacing w:val="-10"/>
                <w:kern w:val="0"/>
                <w:sz w:val="24"/>
                <w:szCs w:val="24"/>
                <w:lang w:val="ru-RU" w:eastAsia="ru-RU" w:bidi="ar-SA"/>
              </w:rPr>
              <w:t>Требования к гарантиям, гарантийному и послегарантийному обслуживанию</w:t>
            </w:r>
          </w:p>
        </w:tc>
      </w:tr>
      <w:tr>
        <w:trPr>
          <w:trHeight w:val="236" w:hRule="atLeast"/>
        </w:trPr>
        <w:tc>
          <w:tcPr>
            <w:tcW w:w="700" w:type="dxa"/>
            <w:tcBorders/>
          </w:tcPr>
          <w:p>
            <w:pPr>
              <w:pStyle w:val="Normal"/>
              <w:widowControl w:val="false"/>
              <w:suppressAutoHyphens w:val="true"/>
              <w:spacing w:before="60" w:after="60"/>
              <w:jc w:val="left"/>
              <w:rPr>
                <w:rFonts w:ascii="Times New Roman" w:hAnsi="Times New Roman" w:eastAsia="Times New Roman" w:cs="Times New Roman"/>
                <w:kern w:val="0"/>
                <w:lang w:eastAsia="ru-RU" w:bidi="ar-SA"/>
              </w:rPr>
            </w:pPr>
            <w:r>
              <w:rPr>
                <w:rFonts w:eastAsia="Times New Roman" w:cs="Times New Roman"/>
                <w:kern w:val="0"/>
                <w:lang w:val="en-US" w:eastAsia="ru-RU" w:bidi="ar-SA"/>
              </w:rPr>
              <w:t>3</w:t>
            </w:r>
            <w:r>
              <w:rPr>
                <w:rFonts w:eastAsia="Times New Roman" w:cs="Times New Roman"/>
                <w:kern w:val="0"/>
                <w:lang w:val="ru-RU" w:eastAsia="ru-RU" w:bidi="ar-SA"/>
              </w:rPr>
              <w:t>.1</w:t>
            </w:r>
          </w:p>
        </w:tc>
        <w:tc>
          <w:tcPr>
            <w:tcW w:w="1852" w:type="dxa"/>
            <w:gridSpan w:val="2"/>
            <w:tcBorders/>
            <w:shd w:color="auto" w:fill="auto" w:val="clear"/>
            <w:vAlign w:val="center"/>
          </w:tcPr>
          <w:p>
            <w:pPr>
              <w:pStyle w:val="Normal"/>
              <w:widowControl w:val="false"/>
              <w:suppressAutoHyphens w:val="true"/>
              <w:spacing w:before="0" w:after="0"/>
              <w:jc w:val="left"/>
              <w:rPr>
                <w:color w:val="000000"/>
                <w:sz w:val="24"/>
                <w:szCs w:val="24"/>
              </w:rPr>
            </w:pPr>
            <w:r>
              <w:rPr>
                <w:rFonts w:eastAsia="Times New Roman" w:cs="Times New Roman"/>
                <w:kern w:val="0"/>
                <w:sz w:val="24"/>
                <w:szCs w:val="24"/>
                <w:lang w:val="ru-RU" w:eastAsia="ru-RU" w:bidi="ar-SA"/>
              </w:rPr>
              <w:t>Срок</w:t>
            </w:r>
            <w:r>
              <w:rPr>
                <w:rFonts w:eastAsia="Times New Roman" w:cs="Times New Roman"/>
                <w:kern w:val="0"/>
                <w:sz w:val="24"/>
                <w:szCs w:val="24"/>
                <w:lang w:val="en-US" w:eastAsia="ru-RU" w:bidi="ar-SA"/>
              </w:rPr>
              <w:t>и</w:t>
            </w:r>
            <w:r>
              <w:rPr>
                <w:rFonts w:eastAsia="Times New Roman" w:cs="Times New Roman"/>
                <w:kern w:val="0"/>
                <w:sz w:val="24"/>
                <w:szCs w:val="24"/>
                <w:lang w:val="ru-RU" w:eastAsia="ru-RU" w:bidi="ar-SA"/>
              </w:rPr>
              <w:t xml:space="preserve"> гарантии</w:t>
            </w:r>
          </w:p>
        </w:tc>
        <w:tc>
          <w:tcPr>
            <w:tcW w:w="6232" w:type="dxa"/>
            <w:tcBorders/>
            <w:vAlign w:val="center"/>
          </w:tcPr>
          <w:p>
            <w:pPr>
              <w:pStyle w:val="Normal"/>
              <w:widowControl w:val="false"/>
              <w:suppressAutoHyphens w:val="true"/>
              <w:spacing w:before="0" w:after="0"/>
              <w:jc w:val="left"/>
              <w:rPr>
                <w:sz w:val="24"/>
                <w:szCs w:val="24"/>
                <w:lang w:eastAsia="x-none"/>
              </w:rPr>
            </w:pPr>
            <w:r>
              <w:rPr>
                <w:rFonts w:eastAsia="Times New Roman" w:cs="" w:cstheme="majorBidi"/>
                <w:spacing w:val="-10"/>
                <w:kern w:val="0"/>
                <w:sz w:val="24"/>
                <w:szCs w:val="24"/>
                <w:lang w:val="ru-RU" w:eastAsia="ru-RU" w:bidi="ar-SA"/>
              </w:rPr>
              <w:t xml:space="preserve">На продукцию устанавливается гарантийный срок </w:t>
            </w:r>
            <w:r>
              <w:rPr>
                <w:rFonts w:eastAsia="Times New Roman" w:cs="Times New Roman"/>
                <w:kern w:val="0"/>
                <w:sz w:val="24"/>
                <w:szCs w:val="24"/>
                <w:lang w:val="ru-RU" w:eastAsia="x-none" w:bidi="ar-SA"/>
              </w:rPr>
              <w:t>не менее 36 (тридцати шести) месяцев с даты ввода в эксплуатацию, но не более 42 (сорок два) месяцев с момента подписания Сторонами соответствующей товарной накладной по форме ТОРГ-12 или Унив</w:t>
            </w:r>
            <w:bookmarkStart w:id="0" w:name="_GoBack"/>
            <w:bookmarkEnd w:id="0"/>
            <w:r>
              <w:rPr>
                <w:rFonts w:eastAsia="Times New Roman" w:cs="Times New Roman"/>
                <w:kern w:val="0"/>
                <w:sz w:val="24"/>
                <w:szCs w:val="24"/>
                <w:lang w:val="ru-RU" w:eastAsia="x-none" w:bidi="ar-SA"/>
              </w:rPr>
              <w:t>ерсального передаточного документа (УПД), но не менее гарантийного срока изготовителя (производителя) продукции.</w:t>
            </w:r>
          </w:p>
        </w:tc>
      </w:tr>
      <w:tr>
        <w:trPr>
          <w:trHeight w:val="236" w:hRule="atLeast"/>
        </w:trPr>
        <w:tc>
          <w:tcPr>
            <w:tcW w:w="700" w:type="dxa"/>
            <w:tcBorders/>
          </w:tcPr>
          <w:p>
            <w:pPr>
              <w:pStyle w:val="Normal"/>
              <w:widowControl w:val="false"/>
              <w:suppressAutoHyphens w:val="true"/>
              <w:spacing w:before="60" w:after="60"/>
              <w:jc w:val="left"/>
              <w:rPr>
                <w:b/>
              </w:rPr>
            </w:pPr>
            <w:r>
              <w:rPr>
                <w:rFonts w:eastAsia="Times New Roman" w:cs="Times New Roman"/>
                <w:b/>
                <w:kern w:val="0"/>
                <w:lang w:val="ru-RU" w:eastAsia="ru-RU" w:bidi="ar-SA"/>
              </w:rPr>
              <w:t>4.</w:t>
            </w:r>
          </w:p>
        </w:tc>
        <w:tc>
          <w:tcPr>
            <w:tcW w:w="8084" w:type="dxa"/>
            <w:gridSpan w:val="3"/>
            <w:tcBorders/>
            <w:shd w:color="auto" w:fill="auto" w:val="clear"/>
            <w:vAlign w:val="center"/>
          </w:tcPr>
          <w:p>
            <w:pPr>
              <w:pStyle w:val="Normal"/>
              <w:widowControl w:val="false"/>
              <w:suppressAutoHyphens w:val="true"/>
              <w:spacing w:before="0" w:after="0"/>
              <w:jc w:val="left"/>
              <w:rPr>
                <w:rFonts w:cs="" w:cstheme="majorBidi"/>
                <w:b/>
                <w:spacing w:val="-10"/>
                <w:sz w:val="24"/>
                <w:szCs w:val="24"/>
              </w:rPr>
            </w:pPr>
            <w:r>
              <w:rPr>
                <w:rFonts w:eastAsia="Times New Roman" w:cs="" w:cstheme="majorBidi"/>
                <w:b/>
                <w:spacing w:val="-10"/>
                <w:kern w:val="0"/>
                <w:sz w:val="24"/>
                <w:szCs w:val="24"/>
                <w:lang w:val="ru-RU" w:eastAsia="ru-RU" w:bidi="ar-SA"/>
              </w:rPr>
              <w:t>Требования к комплектации и документам, поставляемым вместе с продукцией</w:t>
            </w:r>
          </w:p>
        </w:tc>
      </w:tr>
      <w:tr>
        <w:trPr>
          <w:trHeight w:val="236" w:hRule="atLeast"/>
        </w:trPr>
        <w:tc>
          <w:tcPr>
            <w:tcW w:w="700" w:type="dxa"/>
            <w:tcBorders/>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4.1</w:t>
            </w:r>
          </w:p>
        </w:tc>
        <w:tc>
          <w:tcPr>
            <w:tcW w:w="1852" w:type="dxa"/>
            <w:gridSpan w:val="2"/>
            <w:tcBorders/>
            <w:shd w:color="auto" w:fill="auto" w:val="clear"/>
            <w:vAlign w:val="center"/>
          </w:tcPr>
          <w:p>
            <w:pPr>
              <w:pStyle w:val="Normal"/>
              <w:widowControl w:val="false"/>
              <w:suppressAutoHyphens w:val="true"/>
              <w:spacing w:before="0" w:after="0"/>
              <w:jc w:val="left"/>
              <w:rPr>
                <w:color w:val="000000"/>
                <w:sz w:val="24"/>
                <w:szCs w:val="24"/>
              </w:rPr>
            </w:pPr>
            <w:r>
              <w:rPr>
                <w:rFonts w:eastAsia="Times New Roman" w:cs="Times New Roman"/>
                <w:color w:val="000000"/>
                <w:kern w:val="0"/>
                <w:sz w:val="24"/>
                <w:szCs w:val="24"/>
                <w:lang w:val="ru-RU" w:eastAsia="ru-RU" w:bidi="ar-SA"/>
              </w:rPr>
              <w:t>Документы, передаваемые вместе с продукцией</w:t>
            </w:r>
          </w:p>
        </w:tc>
        <w:tc>
          <w:tcPr>
            <w:tcW w:w="6232"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нему документы, оформленные надлежащим образом в бумажном виде и в электронном виде:</w:t>
            </w:r>
          </w:p>
          <w:p>
            <w:pPr>
              <w:pStyle w:val="Normal"/>
              <w:widowControl w:val="false"/>
              <w:numPr>
                <w:ilvl w:val="0"/>
                <w:numId w:val="5"/>
              </w:numPr>
              <w:suppressAutoHyphens w:val="false"/>
              <w:spacing w:before="0" w:after="0"/>
              <w:ind w:left="203" w:hanging="203"/>
              <w:contextualSpacing/>
              <w:jc w:val="left"/>
              <w:rPr>
                <w:sz w:val="24"/>
                <w:szCs w:val="24"/>
              </w:rPr>
            </w:pPr>
            <w:r>
              <w:rPr>
                <w:rFonts w:eastAsia="Times New Roman" w:cs="Times New Roman"/>
                <w:kern w:val="0"/>
                <w:sz w:val="24"/>
                <w:szCs w:val="24"/>
                <w:lang w:val="ru-RU" w:eastAsia="ru-RU" w:bidi="ar-SA"/>
              </w:rPr>
              <w:t>паспорта;</w:t>
            </w:r>
          </w:p>
          <w:p>
            <w:pPr>
              <w:pStyle w:val="Normal"/>
              <w:widowControl w:val="false"/>
              <w:numPr>
                <w:ilvl w:val="0"/>
                <w:numId w:val="5"/>
              </w:numPr>
              <w:suppressAutoHyphens w:val="false"/>
              <w:spacing w:before="0" w:after="0"/>
              <w:ind w:left="203" w:hanging="203"/>
              <w:contextualSpacing/>
              <w:jc w:val="left"/>
              <w:rPr>
                <w:sz w:val="24"/>
                <w:szCs w:val="24"/>
              </w:rPr>
            </w:pPr>
            <w:r>
              <w:rPr>
                <w:rFonts w:eastAsia="Times New Roman" w:cs="Times New Roman"/>
                <w:kern w:val="0"/>
                <w:sz w:val="24"/>
                <w:szCs w:val="24"/>
                <w:lang w:val="ru-RU" w:eastAsia="ru-RU" w:bidi="ar-SA"/>
              </w:rPr>
              <w:t>инструкции по монтажу и эксплуатации;</w:t>
            </w:r>
          </w:p>
          <w:p>
            <w:pPr>
              <w:pStyle w:val="Normal"/>
              <w:widowControl w:val="false"/>
              <w:numPr>
                <w:ilvl w:val="0"/>
                <w:numId w:val="5"/>
              </w:numPr>
              <w:suppressAutoHyphens w:val="false"/>
              <w:spacing w:before="0" w:after="0"/>
              <w:ind w:left="203" w:hanging="203"/>
              <w:contextualSpacing/>
              <w:jc w:val="left"/>
              <w:rPr>
                <w:sz w:val="24"/>
                <w:szCs w:val="24"/>
              </w:rPr>
            </w:pPr>
            <w:r>
              <w:rPr>
                <w:rFonts w:eastAsia="Times New Roman" w:cs="Times New Roman"/>
                <w:kern w:val="0"/>
                <w:sz w:val="24"/>
                <w:szCs w:val="24"/>
                <w:lang w:val="ru-RU" w:eastAsia="ru-RU" w:bidi="ar-SA"/>
              </w:rPr>
              <w:t>сертификаты качества;</w:t>
            </w:r>
          </w:p>
          <w:p>
            <w:pPr>
              <w:pStyle w:val="Normal"/>
              <w:widowControl w:val="false"/>
              <w:suppressAutoHyphens w:val="true"/>
              <w:spacing w:before="0" w:after="0"/>
              <w:jc w:val="left"/>
              <w:rPr>
                <w:rFonts w:cs="" w:cstheme="majorBidi"/>
                <w:spacing w:val="-10"/>
                <w:sz w:val="24"/>
                <w:szCs w:val="24"/>
              </w:rPr>
            </w:pPr>
            <w:r>
              <w:rPr>
                <w:rFonts w:eastAsia="Times New Roman" w:cs="Times New Roman"/>
                <w:kern w:val="0"/>
                <w:sz w:val="24"/>
                <w:szCs w:val="24"/>
                <w:lang w:val="ru-RU" w:eastAsia="ru-RU" w:bidi="ar-SA"/>
              </w:rPr>
              <w:t>УПД или товарную накладную унифицированной формы ТОРГ-12 в 2 экз., транспортную накладную в 2 экз.</w:t>
            </w:r>
          </w:p>
        </w:tc>
      </w:tr>
      <w:tr>
        <w:trPr>
          <w:trHeight w:val="493" w:hRule="atLeast"/>
        </w:trPr>
        <w:tc>
          <w:tcPr>
            <w:tcW w:w="700" w:type="dxa"/>
            <w:tcBorders/>
          </w:tcPr>
          <w:p>
            <w:pPr>
              <w:pStyle w:val="Normal"/>
              <w:widowControl w:val="false"/>
              <w:suppressAutoHyphens w:val="true"/>
              <w:spacing w:before="60" w:after="60"/>
              <w:jc w:val="left"/>
              <w:rPr>
                <w:sz w:val="24"/>
                <w:szCs w:val="24"/>
              </w:rPr>
            </w:pPr>
            <w:r>
              <w:rPr>
                <w:rFonts w:eastAsia="Times New Roman" w:cs="Times New Roman"/>
                <w:b/>
                <w:kern w:val="0"/>
                <w:sz w:val="24"/>
                <w:szCs w:val="24"/>
                <w:lang w:val="en-US" w:eastAsia="ru-RU" w:bidi="ar-SA"/>
              </w:rPr>
              <w:t>5</w:t>
            </w:r>
            <w:r>
              <w:rPr>
                <w:rFonts w:eastAsia="Times New Roman" w:cs="Times New Roman"/>
                <w:kern w:val="0"/>
                <w:sz w:val="24"/>
                <w:szCs w:val="24"/>
                <w:lang w:val="ru-RU" w:eastAsia="ru-RU" w:bidi="ar-SA"/>
              </w:rPr>
              <w:t>.</w:t>
            </w:r>
          </w:p>
        </w:tc>
        <w:tc>
          <w:tcPr>
            <w:tcW w:w="8084" w:type="dxa"/>
            <w:gridSpan w:val="3"/>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rHeight w:val="462" w:hRule="atLeast"/>
        </w:trPr>
        <w:tc>
          <w:tcPr>
            <w:tcW w:w="700" w:type="dxa"/>
            <w:tcBorders/>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5.1</w:t>
            </w:r>
          </w:p>
        </w:tc>
        <w:tc>
          <w:tcPr>
            <w:tcW w:w="1852" w:type="dxa"/>
            <w:gridSpan w:val="2"/>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Общие требования </w:t>
            </w:r>
          </w:p>
        </w:tc>
        <w:tc>
          <w:tcPr>
            <w:tcW w:w="623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Продукция должна быть новой </w:t>
            </w:r>
            <w:r>
              <w:rPr>
                <w:rFonts w:eastAsia="Times New Roman" w:cs="" w:cstheme="majorBidi"/>
                <w:spacing w:val="-10"/>
                <w:kern w:val="0"/>
                <w:sz w:val="24"/>
                <w:szCs w:val="24"/>
                <w:lang w:val="ru-RU" w:eastAsia="ru-RU" w:bidi="ar-SA"/>
              </w:rPr>
              <w:t>(не бывшей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w:t>
            </w: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 Продукция должна быть укомплектована другими документами, выполнение требований которых является условием выполнения гарантийных обязательств производителя или поставщика.</w:t>
            </w:r>
          </w:p>
        </w:tc>
      </w:tr>
      <w:tr>
        <w:trPr>
          <w:trHeight w:val="462" w:hRule="atLeast"/>
        </w:trPr>
        <w:tc>
          <w:tcPr>
            <w:tcW w:w="700" w:type="dxa"/>
            <w:tcBorders/>
          </w:tcPr>
          <w:p>
            <w:pPr>
              <w:pStyle w:val="Normal"/>
              <w:widowControl w:val="false"/>
              <w:suppressAutoHyphens w:val="true"/>
              <w:spacing w:before="60" w:after="60"/>
              <w:jc w:val="left"/>
              <w:rPr>
                <w:b/>
                <w:sz w:val="24"/>
                <w:lang w:val="en-US"/>
              </w:rPr>
            </w:pPr>
            <w:r>
              <w:rPr>
                <w:rFonts w:eastAsia="Times New Roman" w:cs="Times New Roman"/>
                <w:b/>
                <w:kern w:val="0"/>
                <w:sz w:val="24"/>
                <w:lang w:val="en-US" w:eastAsia="ru-RU" w:bidi="ar-SA"/>
              </w:rPr>
              <w:t>6.</w:t>
            </w:r>
          </w:p>
        </w:tc>
        <w:tc>
          <w:tcPr>
            <w:tcW w:w="1847"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Типовые финансовые условия </w:t>
            </w:r>
          </w:p>
        </w:tc>
        <w:tc>
          <w:tcPr>
            <w:tcW w:w="6237" w:type="dxa"/>
            <w:gridSpan w:val="2"/>
            <w:tcBorders/>
          </w:tcPr>
          <w:p>
            <w:pPr>
              <w:pStyle w:val="Normal"/>
              <w:widowControl/>
              <w:shd w:val="clear" w:color="auto" w:fill="FFFFFF"/>
              <w:tabs>
                <w:tab w:val="clear" w:pos="708"/>
                <w:tab w:val="left" w:pos="567" w:leader="none"/>
                <w:tab w:val="left" w:pos="1440" w:leader="none"/>
              </w:tabs>
              <w:suppressAutoHyphens w:val="true"/>
              <w:spacing w:before="0" w:after="120"/>
              <w:jc w:val="both"/>
              <w:rPr>
                <w:sz w:val="24"/>
                <w:szCs w:val="24"/>
              </w:rPr>
            </w:pPr>
            <w:r>
              <w:rPr>
                <w:rFonts w:eastAsia="Times New Roman" w:cs="Times New Roman"/>
                <w:kern w:val="0"/>
                <w:sz w:val="24"/>
                <w:szCs w:val="24"/>
                <w:lang w:val="ru-RU" w:eastAsia="ru-RU" w:bidi="ar-SA"/>
              </w:rPr>
              <w:t>Авансовый платеж в размере 30% от стоимости Продукции выплачивается в течение 30 (тридцати) календарных дней, но не ранее чем за 30 (тридцать) календарных дней до даты поставки Продукции (если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банковскую гарантию).</w:t>
            </w:r>
          </w:p>
          <w:p>
            <w:pPr>
              <w:pStyle w:val="Normal"/>
              <w:widowControl/>
              <w:suppressAutoHyphens w:val="true"/>
              <w:spacing w:before="0" w:after="0"/>
              <w:jc w:val="left"/>
              <w:rPr>
                <w:b/>
                <w:sz w:val="24"/>
                <w:szCs w:val="24"/>
              </w:rPr>
            </w:pPr>
            <w:r>
              <w:rPr>
                <w:rFonts w:eastAsia="Times New Roman" w:cs="Times New Roman"/>
                <w:kern w:val="0"/>
                <w:sz w:val="24"/>
                <w:szCs w:val="24"/>
                <w:lang w:val="ru-RU" w:eastAsia="ru-RU" w:bidi="ar-SA"/>
              </w:rPr>
              <w:t>Платеж в размере 70% от стоимости Продукции, производится Покупателем в срок не более 30 (тридцать) календарных дней/7 (семи) рабочих дней</w:t>
            </w:r>
            <w:r>
              <w:rPr>
                <w:rStyle w:val="FootnoteReference"/>
                <w:rFonts w:eastAsia="Times New Roman" w:cs="Times New Roman"/>
                <w:kern w:val="0"/>
                <w:lang w:val="ru-RU" w:eastAsia="ru-RU" w:bidi="ar-SA"/>
              </w:rPr>
              <w:footnoteReference w:id="2"/>
            </w:r>
            <w:r>
              <w:rPr>
                <w:rFonts w:eastAsia="Times New Roman" w:cs="Times New Roman"/>
                <w:kern w:val="0"/>
                <w:sz w:val="24"/>
                <w:szCs w:val="24"/>
                <w:lang w:val="ru-RU" w:eastAsia="ru-RU" w:bidi="ar-SA"/>
              </w:rPr>
              <w:t xml:space="preserve"> с даты подписания Товарной накладной по форме ТОРГ-12 или Универсального передаточного документа (УПД) на Продукцию.</w:t>
            </w:r>
          </w:p>
        </w:tc>
      </w:tr>
      <w:tr>
        <w:trPr>
          <w:trHeight w:val="462" w:hRule="atLeast"/>
        </w:trPr>
        <w:tc>
          <w:tcPr>
            <w:tcW w:w="700" w:type="dxa"/>
            <w:tcBorders/>
          </w:tcPr>
          <w:p>
            <w:pPr>
              <w:pStyle w:val="Normal"/>
              <w:widowControl w:val="false"/>
              <w:suppressAutoHyphens w:val="true"/>
              <w:spacing w:before="60" w:after="60"/>
              <w:jc w:val="left"/>
              <w:rPr>
                <w:b/>
                <w:sz w:val="24"/>
                <w:lang w:val="en-US"/>
              </w:rPr>
            </w:pPr>
            <w:r>
              <w:rPr>
                <w:rFonts w:eastAsia="Times New Roman" w:cs="Times New Roman"/>
                <w:b/>
                <w:kern w:val="0"/>
                <w:sz w:val="24"/>
                <w:lang w:val="en-US" w:eastAsia="ru-RU" w:bidi="ar-SA"/>
              </w:rPr>
              <w:t>7.</w:t>
            </w:r>
          </w:p>
        </w:tc>
        <w:tc>
          <w:tcPr>
            <w:tcW w:w="1852"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Форма договора</w:t>
            </w:r>
          </w:p>
        </w:tc>
        <w:tc>
          <w:tcPr>
            <w:tcW w:w="6232"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en-US" w:eastAsia="ru-RU" w:bidi="ar-SA"/>
              </w:rPr>
              <w:t>В соответствии с ТФД.</w:t>
            </w:r>
          </w:p>
        </w:tc>
      </w:tr>
    </w:tbl>
    <w:p>
      <w:pPr>
        <w:pStyle w:val="Normal"/>
        <w:jc w:val="both"/>
        <w:rPr>
          <w:b/>
          <w:bCs/>
          <w:sz w:val="24"/>
          <w:szCs w:val="24"/>
        </w:rPr>
      </w:pPr>
      <w:r>
        <w:rPr/>
      </w:r>
    </w:p>
    <w:sectPr>
      <w:headerReference w:type="default" r:id="rId2"/>
      <w:footnotePr>
        <w:numFmt w:val="decimal"/>
      </w:footnotePr>
      <w:type w:val="nextPage"/>
      <w:pgSz w:w="11906" w:h="16838"/>
      <w:pgMar w:left="1361" w:right="851" w:gutter="0" w:header="454" w:top="511" w:footer="0" w:bottom="992"/>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ISOCPEUR">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rPr/>
      </w:pPr>
      <w:r>
        <w:rPr>
          <w:rStyle w:val="Style"/>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86421523"/>
    </w:sdtPr>
    <w:sdtContent>
      <w:p>
        <w:pPr>
          <w:pStyle w:val="Header"/>
          <w:jc w:val="center"/>
          <w:rPr/>
        </w:pPr>
        <w:r>
          <w:rPr/>
        </w:r>
      </w:p>
      <w:p>
        <w:pPr>
          <w:pStyle w:val="Header"/>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51b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f31022"/>
    <w:pPr>
      <w:keepNext w:val="true"/>
      <w:spacing w:before="120" w:after="60"/>
      <w:ind w:left="2269" w:hanging="2269"/>
      <w:outlineLvl w:val="2"/>
    </w:pPr>
    <w:rPr>
      <w:rFonts w:eastAsia="Calibri"/>
      <w:b/>
      <w:sz w:val="24"/>
      <w:szCs w:val="24"/>
      <w:lang w:val="x-none" w:eastAsia="x-none"/>
    </w:rPr>
  </w:style>
  <w:style w:type="paragraph" w:styleId="Heading4">
    <w:name w:val="Heading 4"/>
    <w:basedOn w:val="Heading3"/>
    <w:next w:val="Normal"/>
    <w:link w:val="4"/>
    <w:qFormat/>
    <w:rsid w:val="006629c9"/>
    <w:pPr>
      <w:tabs>
        <w:tab w:val="clear" w:pos="708"/>
        <w:tab w:val="left" w:pos="0" w:leader="none"/>
      </w:tabs>
      <w:ind w:left="432" w:hanging="432"/>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f31022"/>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0"/>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8"/>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10"/>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14" w:customStyle="1">
    <w:name w:val="Заголовок1"/>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14"/>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14"/>
    <w:qFormat/>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Style16" w:customStyle="1">
    <w:name w:val="Название раздела инструкции"/>
    <w:basedOn w:val="Normal"/>
    <w:autoRedefine/>
    <w:qFormat/>
    <w:rsid w:val="00275328"/>
    <w:pPr>
      <w:jc w:val="center"/>
    </w:pPr>
    <w:rPr>
      <w:b/>
    </w:rPr>
  </w:style>
  <w:style w:type="paragraph" w:styleId="Style17"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8"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19"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0"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1" w:customStyle="1">
    <w:name w:val="Раздел регламента"/>
    <w:basedOn w:val="Normal"/>
    <w:qFormat/>
    <w:rsid w:val="00e228fa"/>
    <w:pPr/>
    <w:rPr/>
  </w:style>
  <w:style w:type="paragraph" w:styleId="Style22"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3"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 w:customStyle="1">
    <w:name w:val="caption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4"/>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4"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5"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6"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7" w:customStyle="1">
    <w:name w:val="Таблица шапка"/>
    <w:basedOn w:val="Normal"/>
    <w:qFormat/>
    <w:rsid w:val="00f64089"/>
    <w:pPr>
      <w:keepNext w:val="true"/>
      <w:spacing w:before="40" w:after="40"/>
      <w:ind w:left="57" w:right="57" w:hanging="0"/>
    </w:pPr>
    <w:rPr>
      <w:sz w:val="22"/>
      <w:szCs w:val="26"/>
    </w:rPr>
  </w:style>
  <w:style w:type="paragraph" w:styleId="Style28" w:customStyle="1">
    <w:name w:val="Подподпункт"/>
    <w:basedOn w:val="Style20"/>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29" w:customStyle="1">
    <w:name w:val="УРОВЕНЬ_(а)"/>
    <w:basedOn w:val="ListParagraph"/>
    <w:qFormat/>
    <w:rsid w:val="00b56f46"/>
    <w:pPr>
      <w:numPr>
        <w:ilvl w:val="3"/>
        <w:numId w:val="3"/>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3"/>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3"/>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3"/>
      </w:numPr>
      <w:spacing w:lineRule="exact" w:line="360" w:before="120" w:after="0"/>
      <w:contextualSpacing w:val="false"/>
      <w:jc w:val="both"/>
    </w:pPr>
    <w:rPr>
      <w:sz w:val="26"/>
      <w:szCs w:val="28"/>
      <w:lang w:eastAsia="en-US"/>
    </w:rPr>
  </w:style>
  <w:style w:type="paragraph" w:styleId="Style30" w:customStyle="1">
    <w:name w:val="УРОВЕНЬ_Подпись"/>
    <w:basedOn w:val="ListParagraph"/>
    <w:qFormat/>
    <w:rsid w:val="00b56f46"/>
    <w:pPr>
      <w:keepNext w:val="true"/>
      <w:numPr>
        <w:ilvl w:val="5"/>
        <w:numId w:val="3"/>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708"/>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4"/>
      </w:numPr>
      <w:spacing w:before="120" w:after="120"/>
      <w:jc w:val="both"/>
      <w:outlineLvl w:val="0"/>
    </w:pPr>
    <w:rPr>
      <w:b/>
      <w:kern w:val="2"/>
      <w:sz w:val="24"/>
      <w:szCs w:val="20"/>
      <w:lang w:eastAsia="x-none"/>
    </w:rPr>
  </w:style>
  <w:style w:type="paragraph" w:styleId="Style31"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2" w:customStyle="1">
    <w:name w:val="Содержимое врезки"/>
    <w:basedOn w:val="Normal"/>
    <w:qFormat/>
    <w:pPr/>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DC98-0841-4FF0-91F0-94925EDB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AlterOffice/2025.3.1.0$Linux_X86_64 LibreOffice_project/431cd1b79110582f53535c95ed0a2449aadc8bf9</Application>
  <AppVersion>15.0000</AppVersion>
  <Pages>2</Pages>
  <Words>407</Words>
  <Characters>2631</Characters>
  <CharactersWithSpaces>2998</CharactersWithSpaces>
  <Paragraphs>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2025-05-05T11:31:00Z</dcterms:created>
  <dc:creator>Быстров Олег Геннадьевич</dc:creator>
  <dc:description/>
  <dc:language>ru-RU</dc:language>
  <cp:lastModifiedBy>Карасева Мария Владимировна</cp:lastModifiedBy>
  <cp:lastPrinted>2024-11-29T14:37:00Z</cp:lastPrinted>
  <dcterms:modified xsi:type="dcterms:W3CDTF">2026-04-29T09:24:00Z</dcterms:modified>
  <cp:revision>11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