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14.xml" ContentType="application/vnd.openxmlformats-officedocument.wordprocessingml.footer+xml"/>
  <Override PartName="/word/footer10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16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footer12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8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5"/>
        <w:gridCol w:w="3328"/>
        <w:gridCol w:w="1076"/>
        <w:gridCol w:w="781"/>
        <w:gridCol w:w="1481"/>
        <w:gridCol w:w="1550"/>
        <w:gridCol w:w="2270"/>
        <w:gridCol w:w="2290"/>
        <w:gridCol w:w="666"/>
        <w:gridCol w:w="827"/>
        <w:gridCol w:w="1150"/>
      </w:tblGrid>
      <w:tr>
        <w:trPr>
          <w:trHeight w:val="255" w:hRule="atLeast"/>
        </w:trPr>
        <w:tc>
          <w:tcPr>
            <w:tcW w:w="4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2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8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5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9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/>
          <w:b/>
          <w:bCs/>
        </w:rPr>
      </w:pPr>
      <w:bookmarkStart w:id="0" w:name="P79"/>
      <w:bookmarkStart w:id="1" w:name="P80"/>
      <w:bookmarkStart w:id="2" w:name="P81"/>
      <w:bookmarkStart w:id="3" w:name="P83"/>
      <w:bookmarkStart w:id="4" w:name="P90"/>
      <w:bookmarkStart w:id="5" w:name="P102"/>
      <w:bookmarkStart w:id="6" w:name="P104"/>
      <w:bookmarkStart w:id="7" w:name="P105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/>
          <w:bCs/>
        </w:rPr>
        <w:t xml:space="preserve">Приложение 1 </w:t>
        <w:br/>
        <w:t>к Техническим требованиям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hd w:val="clear" w:color="auto" w:fill="FFFFFF"/>
        <w:tabs>
          <w:tab w:val="clear" w:pos="708"/>
          <w:tab w:val="left" w:pos="900" w:leader="none"/>
        </w:tabs>
        <w:spacing w:lineRule="auto" w:line="240" w:before="0" w:after="0"/>
        <w:ind w:firstLine="360"/>
        <w:jc w:val="right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</w:r>
    </w:p>
    <w:p>
      <w:pPr>
        <w:pStyle w:val="Normal"/>
        <w:tabs>
          <w:tab w:val="clear" w:pos="708"/>
          <w:tab w:val="left" w:pos="1260" w:leader="none"/>
        </w:tabs>
        <w:spacing w:lineRule="auto" w:line="240" w:before="0" w:after="0"/>
        <w:ind w:left="1260" w:hanging="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сметной документации на работы по программе реконструкции и техническому перевооружению.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Настоящие требования разработаны для единого подхода к оформлению и составлению сметной документации на работы по  программе реконструкции и техническому перевооружению.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ascii="Times New Roman" w:hAnsi="Times New Roman"/>
          <w:b/>
          <w:u w:val="single"/>
        </w:rPr>
        <w:t>не допускается</w:t>
      </w:r>
      <w:r>
        <w:rPr>
          <w:rFonts w:ascii="Times New Roman" w:hAnsi="Times New Roman"/>
        </w:rPr>
        <w:t>, кроме случаев, прямо указанных в настоящих требованиях.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Версия программного комплекса «Гранд-Смета» (далее–ПК «Гранд-смета») должна быть не ниже 2024.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421/пр., в редакции приказов Минстроя России от 07.07.2022 года № 557/пр, от 30.01.2024 года № 55/пр, от 30.01.2026 года № 42/пр (далее – Методика 421).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составлении сметной документации на </w:t>
      </w:r>
      <w:r>
        <w:rPr>
          <w:rFonts w:ascii="Times New Roman" w:hAnsi="Times New Roman"/>
          <w:b/>
        </w:rPr>
        <w:t>СМР</w:t>
      </w:r>
      <w:r>
        <w:rPr>
          <w:rFonts w:ascii="Times New Roman" w:hAnsi="Times New Roman"/>
        </w:rPr>
        <w:t xml:space="preserve"> использовалась сметно-нормативная база ФСНБ-2022 (с Изм. 1-11) с учётом расчётного индекс-дефлятора на период исполнения контракта Иинф. =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</w:rPr>
        <w:t>1,128.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составлении сметной документации на работы, учтенные с предельной ценой (</w:t>
      </w:r>
      <w:r>
        <w:rPr>
          <w:rFonts w:ascii="Times New Roman" w:hAnsi="Times New Roman"/>
          <w:b/>
        </w:rPr>
        <w:t>ПНР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непредвиденные затраты)</w:t>
      </w:r>
      <w:r>
        <w:rPr>
          <w:rFonts w:ascii="Times New Roman" w:hAnsi="Times New Roman"/>
        </w:rPr>
        <w:t xml:space="preserve"> необходимо руководствоваться теми же условиями, которые указаны в п. 5 </w:t>
      </w:r>
      <w:r>
        <w:rPr>
          <w:rFonts w:ascii="Times New Roman" w:hAnsi="Times New Roman"/>
          <w:b w:val="false"/>
          <w:i w:val="false"/>
          <w:iCs w:val="false"/>
          <w:color w:val="2C2D2E"/>
          <w:spacing w:val="0"/>
          <w:sz w:val="23"/>
        </w:rPr>
        <w:t>при составлении сметной документации</w:t>
      </w:r>
      <w:r>
        <w:rPr>
          <w:rFonts w:ascii="Times New Roman" w:hAnsi="Times New Roman"/>
        </w:rPr>
        <w:t xml:space="preserve"> на СМР (в том же уровне цен).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сметной стоимости работ выполняется</w:t>
      </w:r>
      <w:r>
        <w:rPr>
          <w:rFonts w:ascii="Times New Roman" w:hAnsi="Times New Roman"/>
          <w:b/>
        </w:rPr>
        <w:t xml:space="preserve"> ресурсно-индексным методом </w:t>
      </w:r>
      <w:r>
        <w:rPr>
          <w:rFonts w:ascii="Times New Roman" w:hAnsi="Times New Roman"/>
        </w:rPr>
        <w:t xml:space="preserve">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</w:t>
      </w:r>
      <w:r>
        <w:rPr>
          <w:rFonts w:ascii="Times New Roman" w:hAnsi="Times New Roman"/>
          <w:b/>
        </w:rPr>
        <w:t>текущем уровне цен</w:t>
      </w:r>
      <w:r>
        <w:rPr>
          <w:rFonts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определении сметной стоимости ресурсно-индексным методами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ресурсно-индексного метода: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индексы</w:t>
      </w:r>
      <w:r>
        <w:rPr>
          <w:rFonts w:ascii="Times New Roman" w:hAnsi="Times New Roman"/>
        </w:rPr>
        <w:t xml:space="preserve">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сметной документации используются: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индексы фактической инфляции (опубликованные на сайте https://www.fedstat.ru/, индексы цен на продукцию (затраты, услуги) инвестиционного назначения с 2017г., по Российской Федерации в целом, с учетом вида экономической деятельности) в размере-1,0739;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индексы прогнозной инфляции в соответствии с прогнозом Министерства экономического развития РФ (прогноз «базовый», определенные в установленном порядке для Заказчика (в соответствии с планируемым периодом выполнения работ), в соответствии с образцом, см. приложение №5 к Требованиям к оформлению и составлению сметной документации на работы по программе реконструкции и техническому перевооружению в размере-1,0505.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</w:t>
      </w:r>
      <w:r>
        <w:rPr>
          <w:rFonts w:ascii="Times New Roman" w:hAnsi="Times New Roman"/>
          <w:i/>
        </w:rPr>
        <w:t>отсутствия</w:t>
      </w:r>
      <w:r>
        <w:rPr>
          <w:rFonts w:ascii="Times New Roman" w:hAnsi="Times New Roman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 для ЕНиР и ВНиР определять аналогично примененному в сметной документации методу расчета, внесенного в ФРСН.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bookmarkStart w:id="8" w:name="_Hlk86254526"/>
      <w:r>
        <w:rPr>
          <w:rFonts w:ascii="Times New Roman" w:hAnsi="Times New Roman"/>
        </w:rPr>
        <w:t>При отсутствии в ФСБЦ-2022 и ФГИС ЦС, данных о сметных ценах на отдельные материальные ресурсы и оборудование, а также сметных нормативов на отдельные виды услуг, их сметная стоимость определяется по среднерыночному варианту, определенному Методом анализа ТКП (Приложение №4).</w:t>
      </w:r>
      <w:bookmarkEnd w:id="8"/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Сметная</w:t>
      </w:r>
      <w:r>
        <w:rPr>
          <w:rFonts w:ascii="Times New Roman" w:hAnsi="Times New Roman"/>
        </w:rPr>
        <w:t xml:space="preserve">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Транспортные затраты определяются следующими методами: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40" w:after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15.1. </w:t>
      </w:r>
      <w:r>
        <w:rPr>
          <w:rFonts w:ascii="Times New Roman" w:hAnsi="Times New Roman"/>
          <w:b/>
        </w:rPr>
        <w:t>по доставке материальных ресурсов</w:t>
      </w:r>
      <w:r>
        <w:rPr>
          <w:rFonts w:ascii="Times New Roman" w:hAnsi="Times New Roman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расчетом</w:t>
      </w:r>
      <w:r>
        <w:rPr>
          <w:rFonts w:ascii="Times New Roman" w:hAnsi="Times New Roman"/>
        </w:rPr>
        <w:t xml:space="preserve"> с </w:t>
      </w:r>
      <w:r>
        <w:rPr>
          <w:rFonts w:ascii="Times New Roman" w:hAnsi="Times New Roman"/>
          <w:lang w:eastAsia="ru-RU"/>
        </w:rPr>
        <w:t>учетом</w:t>
      </w:r>
      <w:r>
        <w:rPr>
          <w:rFonts w:ascii="Times New Roman" w:hAnsi="Times New Roman"/>
        </w:rPr>
        <w:t xml:space="preserve">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Методом анализа ТКП (Приложение №4);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размере </w:t>
      </w:r>
      <w:r>
        <w:rPr>
          <w:rFonts w:ascii="Times New Roman" w:hAnsi="Times New Roman"/>
          <w:lang w:eastAsia="ru-RU"/>
        </w:rPr>
        <w:t>до</w:t>
      </w:r>
      <w:r>
        <w:rPr>
          <w:rFonts w:ascii="Times New Roman" w:hAnsi="Times New Roman"/>
        </w:rPr>
        <w:t xml:space="preserve">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40" w:after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15.2.</w:t>
      </w:r>
      <w:r>
        <w:rPr>
          <w:rFonts w:cs="Arial"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</w:rPr>
        <w:t>по доставке оборудования</w:t>
      </w:r>
      <w:r>
        <w:rPr>
          <w:rFonts w:ascii="Times New Roman" w:hAnsi="Times New Roman"/>
        </w:rPr>
        <w:t>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ru-RU"/>
        </w:rPr>
        <w:t>Методом анализа ТКП в соответствии с Приложением №4 к настоящим требованиям</w:t>
      </w:r>
      <w:r>
        <w:rPr>
          <w:rFonts w:ascii="Times New Roman" w:hAnsi="Times New Roman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2% - для материальных ресурсов (кроме металлоконструкций);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0,75% - для металлоконструкций;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1,2% - для оборудования.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ru-RU"/>
        </w:rPr>
        <w:t>Затраты</w:t>
      </w:r>
      <w:r>
        <w:rPr>
          <w:rFonts w:ascii="Times New Roman" w:hAnsi="Times New Roman"/>
          <w:color w:val="000000"/>
        </w:rPr>
        <w:t xml:space="preserve"> на эксплуатацию строительной техники, не учтенной нормами и расценками, включенными в ФРСН, определяются Методом анализа ТКП и включаются в Главу 9 ССРСС.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При</w:t>
      </w:r>
      <w:r>
        <w:rPr>
          <w:rFonts w:ascii="Times New Roman" w:hAnsi="Times New Roman"/>
          <w:color w:val="000000"/>
        </w:rPr>
        <w:t xml:space="preserve">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ru-RU"/>
        </w:rPr>
        <w:t>При</w:t>
      </w:r>
      <w:r>
        <w:rPr>
          <w:rFonts w:ascii="Times New Roman" w:hAnsi="Times New Roman"/>
        </w:rPr>
        <w:t xml:space="preserve">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ru-RU"/>
        </w:rPr>
        <w:t>Поправочные</w:t>
      </w:r>
      <w:r>
        <w:rPr>
          <w:rFonts w:ascii="Times New Roman" w:hAnsi="Times New Roman"/>
          <w:color w:val="000000"/>
        </w:rPr>
        <w:t xml:space="preserve">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>
        <w:rPr>
          <w:rFonts w:ascii="Times New Roman" w:hAnsi="Times New Roman"/>
          <w:color w:val="000000"/>
        </w:rPr>
        <w:t xml:space="preserve">применении коэффициенты перемножаются, результат округляется до семи знаков после запятой.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При</w:t>
      </w:r>
      <w:r>
        <w:rPr>
          <w:rFonts w:ascii="Times New Roman" w:hAnsi="Times New Roman"/>
          <w:color w:val="000000"/>
        </w:rPr>
        <w:t xml:space="preserve">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Резерв</w:t>
      </w:r>
      <w:r>
        <w:rPr>
          <w:rFonts w:ascii="Times New Roman" w:hAnsi="Times New Roman"/>
        </w:rPr>
        <w:t xml:space="preserve"> средств на непредвиденные работы и затраты определять в ТТ и начислять в смете в </w:t>
      </w:r>
      <w:r>
        <w:rPr>
          <w:rFonts w:ascii="Times New Roman" w:hAnsi="Times New Roman"/>
          <w:color w:val="000000"/>
        </w:rPr>
        <w:t>процентах</w:t>
      </w:r>
      <w:r>
        <w:rPr>
          <w:rFonts w:ascii="Times New Roman" w:hAnsi="Times New Roman"/>
        </w:rPr>
        <w:t xml:space="preserve"> в размере, указанном в утвержденных ТТ. Порядок расчета за непредвиденные работы и затраты оговаривать в договоре подряда.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Сметная</w:t>
      </w:r>
      <w:r>
        <w:rPr>
          <w:rFonts w:ascii="Times New Roman" w:hAnsi="Times New Roman"/>
        </w:rPr>
        <w:t xml:space="preserve">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ascii="Times New Roman" w:hAnsi="Times New Roman"/>
          <w:lang w:val="en-US"/>
        </w:rPr>
        <w:t>VII</w:t>
      </w:r>
      <w:r>
        <w:rPr>
          <w:rFonts w:ascii="Times New Roman" w:hAnsi="Times New Roman"/>
        </w:rPr>
        <w:t xml:space="preserve"> Методики 421: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работы оформляются отдельными локальными сметами в соответствии </w:t>
      </w:r>
      <w:r>
        <w:rPr>
          <w:rFonts w:ascii="Times New Roman" w:hAnsi="Times New Roman"/>
          <w:color w:val="000000"/>
        </w:rPr>
        <w:t>с Приложением №2 к настоящим требованиям и включаются в ССРСС.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uto" w:line="240" w:before="40" w:after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работы оформляются отдельными локальными сметами в соответствии </w:t>
      </w:r>
      <w:r>
        <w:rPr>
          <w:rFonts w:ascii="Times New Roman" w:hAnsi="Times New Roman"/>
          <w:color w:val="000000"/>
        </w:rPr>
        <w:t xml:space="preserve">с Приложением </w:t>
      </w:r>
      <w:r>
        <w:rPr>
          <w:rFonts w:ascii="Times New Roman" w:hAnsi="Times New Roman"/>
        </w:rPr>
        <w:t>№ 2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 и включаются в ССР.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ru-RU"/>
        </w:rPr>
        <w:t>Стоимость</w:t>
      </w:r>
      <w:r>
        <w:rPr>
          <w:rFonts w:ascii="Times New Roman" w:hAnsi="Times New Roman"/>
        </w:rPr>
        <w:t xml:space="preserve">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3 к Требованиям к оформлению и составлению сметной документации на выполнение строительно-монтажных работ по программе реконструкции и техническому перевооружению).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ru-RU"/>
        </w:rPr>
        <w:t>При</w:t>
      </w:r>
      <w:r>
        <w:rPr>
          <w:rFonts w:ascii="Times New Roman" w:hAnsi="Times New Roman"/>
          <w:color w:val="000000"/>
        </w:rPr>
        <w:t xml:space="preserve"> необходимости учета командировочных расходов в сметной документации составляется расчет. 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Лимиты командировочных расходов при производстве СМР и ПНР по статьям затрат следующие не более: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суточные – 700 руб./сутки;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проживание – 500 руб./сутки;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/>
          <w:i/>
          <w:i/>
          <w:color w:val="000000"/>
        </w:rPr>
      </w:pPr>
      <w:r>
        <w:rPr>
          <w:rFonts w:ascii="Times New Roman" w:hAnsi="Times New Roman"/>
          <w:color w:val="000000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При</w:t>
      </w:r>
      <w:r>
        <w:rPr>
          <w:rFonts w:ascii="Times New Roman" w:hAnsi="Times New Roman"/>
        </w:rPr>
        <w:t xml:space="preserve">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bookmarkStart w:id="9" w:name="_Ref19086149"/>
      <w:r>
        <w:rPr>
          <w:rFonts w:ascii="Times New Roman" w:hAnsi="Times New Roman"/>
          <w:lang w:eastAsia="ru-RU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>локальных</w:t>
      </w:r>
      <w:r>
        <w:rPr>
          <w:rFonts w:ascii="Times New Roman" w:hAnsi="Times New Roman"/>
        </w:rPr>
        <w:t xml:space="preserve"> сметных расчетах построчные и итоговые суммы </w:t>
      </w:r>
      <w:r>
        <w:rPr>
          <w:rFonts w:ascii="Times New Roman" w:hAnsi="Times New Roman"/>
          <w:b/>
          <w:u w:val="single"/>
        </w:rPr>
        <w:t>округлять:</w:t>
      </w:r>
      <w:bookmarkEnd w:id="9"/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ресурсно-индексном и ресурсным методах, а также в сметных расчетах на отдельные виды затрат - </w:t>
      </w:r>
      <w:r>
        <w:rPr>
          <w:rFonts w:ascii="Times New Roman" w:hAnsi="Times New Roman"/>
          <w:b/>
        </w:rPr>
        <w:t>в рублях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до целых единиц</w:t>
      </w:r>
      <w:r>
        <w:rPr>
          <w:rFonts w:ascii="Times New Roman" w:hAnsi="Times New Roman"/>
        </w:rPr>
        <w:t>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объектных сметных расчетах (сметах), сводном сметном расчете стоимости строительства и сводке затрат - </w:t>
      </w:r>
      <w:r>
        <w:rPr>
          <w:rFonts w:ascii="Times New Roman" w:hAnsi="Times New Roman"/>
          <w:b/>
        </w:rPr>
        <w:t>рублях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до двух знаков</w:t>
      </w:r>
      <w:r>
        <w:rPr>
          <w:rFonts w:ascii="Times New Roman" w:hAnsi="Times New Roman"/>
        </w:rPr>
        <w:t xml:space="preserve"> после запятой. Величину НДС не указывать.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Выходные</w:t>
      </w:r>
      <w:r>
        <w:rPr>
          <w:rFonts w:ascii="Times New Roman" w:hAnsi="Times New Roman"/>
        </w:rPr>
        <w:t xml:space="preserve"> формы сметных расчетов должны соответствовать Образцам по приложению 2 </w:t>
      </w:r>
      <w:r>
        <w:rPr>
          <w:rFonts w:ascii="Times New Roman" w:hAnsi="Times New Roman"/>
          <w:color w:val="000000"/>
        </w:rPr>
        <w:t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</w:t>
      </w:r>
      <w:r>
        <w:rPr>
          <w:rFonts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lang w:eastAsia="ru-RU"/>
        </w:rPr>
        <w:t>случае</w:t>
      </w:r>
      <w:r>
        <w:rPr>
          <w:rFonts w:ascii="Times New Roman" w:hAnsi="Times New Roman"/>
        </w:rPr>
        <w:t xml:space="preserve"> предоставления Заказчиком услуг, указанных в Технических требованиях, договоре: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40" w:after="40"/>
        <w:ind w:left="127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/>
      </w:pPr>
      <w:r>
        <w:rPr>
          <w:rFonts w:ascii="Times New Roman" w:hAnsi="Times New Roman"/>
        </w:rPr>
        <w:t>По предоставляемой электроэнергии (в том числе, в составе стоимости машино-часа):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</w:tabs>
        <w:spacing w:lineRule="auto" w:line="240" w:before="40" w:after="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норм и расценок исключать стоимость электроэнергии</w:t>
      </w:r>
      <w:bookmarkStart w:id="10" w:name="_GoBack"/>
      <w:bookmarkEnd w:id="10"/>
      <w:r>
        <w:rPr>
          <w:rFonts w:ascii="Times New Roman" w:hAnsi="Times New Roman"/>
        </w:rPr>
        <w:t>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предоставляемой воде: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993" w:leader="none"/>
        </w:tabs>
        <w:spacing w:lineRule="auto" w:line="240" w:before="40" w:after="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норм и расценок исключать стоимость воды.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lang w:eastAsia="ru-RU"/>
        </w:rPr>
        <w:t>сметных</w:t>
      </w:r>
      <w:r>
        <w:rPr>
          <w:rFonts w:ascii="Times New Roman" w:hAnsi="Times New Roman"/>
        </w:rPr>
        <w:t xml:space="preserve">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ССРСС</w:t>
      </w:r>
      <w:r>
        <w:rPr>
          <w:rFonts w:ascii="Times New Roman" w:hAnsi="Times New Roman"/>
        </w:rPr>
        <w:t xml:space="preserve">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</w:t>
      </w:r>
      <w:r>
        <w:rPr>
          <w:rFonts w:ascii="Times New Roman" w:hAnsi="Times New Roman"/>
          <w:color w:val="000000"/>
        </w:rPr>
        <w:t>Требованиям к 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по образцу</w:t>
      </w:r>
      <w:r>
        <w:rPr>
          <w:rFonts w:ascii="Times New Roman" w:hAnsi="Times New Roman"/>
        </w:rPr>
        <w:t>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uppressAutoHyphens w:val="false"/>
        <w:spacing w:lineRule="auto" w:line="240" w:before="40" w:after="4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Сметная</w:t>
      </w:r>
      <w:r>
        <w:rPr>
          <w:rFonts w:ascii="Times New Roman" w:hAnsi="Times New Roman"/>
        </w:rPr>
        <w:t xml:space="preserve"> документация должна быть представлена в двух вариантах: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бумажном носителе (количество указано в конкурсной документации).  Образец ЛСР в соответствии с приложением № 2 к Требованиям к оформлению и составлению сметной документации на работы по программе реконструкции и техническому перевооружению;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электронном носителе (в форматах «</w:t>
      </w:r>
      <w:r>
        <w:rPr>
          <w:rFonts w:ascii="Times New Roman" w:hAnsi="Times New Roman"/>
          <w:lang w:val="en-US"/>
        </w:rPr>
        <w:t>xml</w:t>
      </w:r>
      <w:r>
        <w:rPr>
          <w:rFonts w:ascii="Times New Roman" w:hAnsi="Times New Roman"/>
        </w:rPr>
        <w:t>»,</w:t>
      </w:r>
      <w:r>
        <w:rPr>
          <w:rFonts w:ascii="Times New Roman" w:hAnsi="Times New Roman"/>
          <w:color w:val="2E74B5"/>
        </w:rPr>
        <w:t xml:space="preserve"> </w:t>
      </w:r>
      <w:r>
        <w:rPr>
          <w:rFonts w:ascii="Times New Roman" w:hAnsi="Times New Roman"/>
        </w:rPr>
        <w:t>ПК «Гранд-Смета», «Excel», «</w:t>
      </w:r>
      <w:r>
        <w:rPr>
          <w:rFonts w:ascii="Times New Roman" w:hAnsi="Times New Roman"/>
          <w:lang w:val="en-US"/>
        </w:rPr>
        <w:t>pdf</w:t>
      </w:r>
      <w:r>
        <w:rPr>
          <w:rFonts w:ascii="Times New Roman" w:hAnsi="Times New Roman"/>
        </w:rPr>
        <w:t>»), полностью соответствующему бумажному варианту. Сметная документация в формате «Exce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в формате ПК «Гранд-смета» выходная форма для печати указана ниже: </w:t>
      </w:r>
    </w:p>
    <w:p>
      <w:pPr>
        <w:pStyle w:val="Normal"/>
        <w:shd w:val="clear" w:color="auto" w:fill="FFFFFF"/>
        <w:tabs>
          <w:tab w:val="clear" w:pos="708"/>
          <w:tab w:val="left" w:pos="900" w:leader="none"/>
        </w:tabs>
        <w:spacing w:lineRule="auto" w:line="240" w:before="0" w:after="0"/>
        <w:ind w:firstLine="360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0" w:leader="none"/>
        </w:tabs>
        <w:spacing w:lineRule="auto" w:line="240" w:before="0" w:after="0"/>
        <w:ind w:firstLine="360"/>
        <w:jc w:val="right"/>
        <w:rPr>
          <w:lang w:eastAsia="ru-RU"/>
        </w:rPr>
      </w:pPr>
      <w:r>
        <w:rPr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0" w:leader="none"/>
        </w:tabs>
        <w:spacing w:lineRule="auto" w:line="240" w:before="0" w:after="0"/>
        <w:ind w:firstLine="360"/>
        <w:jc w:val="right"/>
        <w:rPr>
          <w:rFonts w:ascii="Times New Roman" w:hAnsi="Times New Roman"/>
          <w:color w:val="000000"/>
          <w:sz w:val="20"/>
          <w:szCs w:val="20"/>
        </w:rPr>
      </w:pPr>
      <w:r>
        <w:rPr/>
        <w:drawing>
          <wp:inline distT="0" distB="0" distL="0" distR="0">
            <wp:extent cx="5984875" cy="3360420"/>
            <wp:effectExtent l="0" t="0" r="0" b="0"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-21" r="0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№1 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 xml:space="preserve">к Требованиям к оформлению и составлению сметной документации </w:t>
      </w:r>
      <w:r>
        <w:rPr>
          <w:rFonts w:ascii="Times New Roman" w:hAnsi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ascii="Times New Roman" w:hAnsi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оформлению и составлению сводного сметного расчета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 договорам на реконструкцию, техническое перевооружение и дополнительным соглашениям к указанным договорам.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Arial"/>
          <w:color w:val="000000"/>
          <w:szCs w:val="20"/>
        </w:rPr>
      </w:pPr>
      <w:r>
        <w:rPr>
          <w:rFonts w:cs="Arial" w:ascii="Times New Roman" w:hAnsi="Times New Roman"/>
          <w:color w:val="000000"/>
          <w:szCs w:val="20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rFonts w:ascii="Times New Roman" w:hAnsi="Times New Roman"/>
          <w:color w:val="000000"/>
        </w:rPr>
        <w:t xml:space="preserve">№ 1.1 к </w:t>
      </w:r>
      <w:r>
        <w:rPr>
          <w:rFonts w:cs="Arial" w:ascii="Times New Roman" w:hAnsi="Times New Roman"/>
          <w:color w:val="000000"/>
        </w:rPr>
        <w:t xml:space="preserve">Требованиям к оформлению и составлению </w:t>
      </w:r>
      <w:r>
        <w:rPr>
          <w:rFonts w:ascii="Times New Roman" w:hAnsi="Times New Roman"/>
          <w:color w:val="000000"/>
        </w:rPr>
        <w:t>сводного сметного расчёта к договорам на реконструкцию, техническое перевооружение и дополнительным соглашениям к указанным договорам по образцу.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Arial"/>
          <w:color w:val="000000"/>
          <w:szCs w:val="20"/>
        </w:rPr>
      </w:pPr>
      <w:r>
        <w:rPr>
          <w:rFonts w:cs="Arial" w:ascii="Times New Roman" w:hAnsi="Times New Roman"/>
          <w:color w:val="000000"/>
          <w:szCs w:val="20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rFonts w:ascii="Times New Roman" w:hAnsi="Times New Roman"/>
          <w:color w:val="000000"/>
        </w:rPr>
        <w:t>ЛСР (</w:t>
      </w:r>
      <w:r>
        <w:rPr>
          <w:rFonts w:cs="Arial" w:ascii="Times New Roman" w:hAnsi="Times New Roman"/>
          <w:color w:val="000000"/>
          <w:szCs w:val="20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rFonts w:ascii="Times New Roman" w:hAnsi="Times New Roman"/>
          <w:color w:val="000000"/>
        </w:rPr>
        <w:t xml:space="preserve">№ 1.2 к </w:t>
      </w:r>
      <w:r>
        <w:rPr>
          <w:rFonts w:cs="Arial" w:ascii="Times New Roman" w:hAnsi="Times New Roman"/>
          <w:color w:val="000000"/>
        </w:rPr>
        <w:t xml:space="preserve">Требованиям к оформлению и составлению </w:t>
      </w:r>
      <w:r>
        <w:rPr>
          <w:rFonts w:ascii="Times New Roman" w:hAnsi="Times New Roman"/>
          <w:color w:val="000000"/>
        </w:rPr>
        <w:t xml:space="preserve">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Arial"/>
          <w:color w:val="000000"/>
          <w:szCs w:val="20"/>
        </w:rPr>
      </w:pPr>
      <w:r>
        <w:rPr>
          <w:rFonts w:cs="Arial" w:ascii="Times New Roman" w:hAnsi="Times New Roman"/>
          <w:color w:val="000000"/>
          <w:szCs w:val="20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ascii="Times New Roman" w:hAnsi="Times New Roman"/>
          <w:color w:val="000000"/>
        </w:rPr>
        <w:t xml:space="preserve">к Требованиям </w:t>
      </w:r>
      <w:r>
        <w:rPr>
          <w:rFonts w:cs="Arial" w:ascii="Times New Roman" w:hAnsi="Times New Roman"/>
          <w:color w:val="000000"/>
          <w:szCs w:val="20"/>
        </w:rPr>
        <w:t xml:space="preserve">к оформлению и составлению </w:t>
      </w:r>
      <w:r>
        <w:rPr>
          <w:rFonts w:ascii="Times New Roman" w:hAnsi="Times New Roman"/>
          <w:color w:val="000000"/>
        </w:rPr>
        <w:t xml:space="preserve">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Arial"/>
          <w:color w:val="000000"/>
          <w:szCs w:val="20"/>
        </w:rPr>
      </w:pPr>
      <w:r>
        <w:rPr>
          <w:rFonts w:cs="Arial" w:ascii="Times New Roman" w:hAnsi="Times New Roman"/>
          <w:color w:val="000000"/>
          <w:szCs w:val="20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Arial"/>
          <w:color w:val="000000"/>
          <w:szCs w:val="20"/>
        </w:rPr>
      </w:pPr>
      <w:r>
        <w:rPr>
          <w:rFonts w:cs="Arial" w:ascii="Times New Roman" w:hAnsi="Times New Roman"/>
          <w:color w:val="000000"/>
          <w:szCs w:val="20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Arial" w:ascii="Times New Roman" w:hAnsi="Times New Roman"/>
          <w:color w:val="000000"/>
          <w:szCs w:val="20"/>
        </w:rPr>
        <w:t xml:space="preserve">В ССРСС, построчные и итоговые суммы </w:t>
      </w:r>
      <w:r>
        <w:rPr>
          <w:rFonts w:ascii="Times New Roman" w:hAnsi="Times New Roman"/>
          <w:color w:val="000000"/>
        </w:rPr>
        <w:t xml:space="preserve">указывать </w:t>
      </w:r>
      <w:r>
        <w:rPr>
          <w:rFonts w:cs="Arial" w:ascii="Times New Roman" w:hAnsi="Times New Roman"/>
          <w:color w:val="000000"/>
          <w:szCs w:val="20"/>
        </w:rPr>
        <w:t>в рублях с округлением до двух знаков после запятой. Величину НДС не указывать.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Arial"/>
          <w:color w:val="000000"/>
          <w:szCs w:val="20"/>
        </w:rPr>
      </w:pPr>
      <w:r>
        <w:rPr>
          <w:rFonts w:cs="Arial" w:ascii="Times New Roman" w:hAnsi="Times New Roman"/>
          <w:color w:val="000000"/>
          <w:szCs w:val="20"/>
        </w:rPr>
        <w:t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ССРСС.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sectPr>
          <w:footerReference w:type="default" r:id="rId3"/>
          <w:type w:val="nextPage"/>
          <w:pgSz w:w="11906" w:h="16838"/>
          <w:pgMar w:left="1276" w:right="707" w:gutter="0" w:header="0" w:top="851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7" w:firstLine="720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="Arial" w:ascii="Times New Roman" w:hAnsi="Times New Roman"/>
          <w:sz w:val="20"/>
          <w:szCs w:val="20"/>
        </w:rPr>
        <w:t>Приложение № 1.1</w:t>
      </w:r>
    </w:p>
    <w:p>
      <w:pPr>
        <w:pStyle w:val="Normal"/>
        <w:widowControl w:val="false"/>
        <w:spacing w:lineRule="auto" w:line="240" w:before="0" w:after="0"/>
        <w:ind w:left="57" w:firstLine="72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b/>
        </w:rPr>
        <w:t xml:space="preserve">ОБРАЗЕЦ </w:t>
      </w:r>
      <w:r>
        <w:rPr>
          <w:rFonts w:cs="Arial"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hanging="0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</w:t>
      </w:r>
      <w:r>
        <w:rPr>
          <w:rFonts w:cs="Arial" w:ascii="Times New Roman" w:hAnsi="Times New Roman"/>
          <w:color w:val="000000"/>
        </w:rPr>
        <w:t xml:space="preserve">к </w:t>
      </w:r>
      <w:r>
        <w:rPr>
          <w:rFonts w:cs="Arial" w:ascii="Times New Roman" w:hAnsi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cs="Arial" w:ascii="Times New Roman" w:hAnsi="Times New Roman"/>
          <w:sz w:val="20"/>
          <w:szCs w:val="20"/>
        </w:rPr>
        <w:t xml:space="preserve">Приложение №___                                                                                    к договору от_______№_____ </w:t>
      </w:r>
      <w:r>
        <w:rPr>
          <w:rFonts w:cs="Arial" w:ascii="Times New Roman" w:hAnsi="Times New Roman"/>
          <w:sz w:val="20"/>
          <w:szCs w:val="20"/>
          <w:lang w:val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464"/>
        <w:gridCol w:w="7450"/>
      </w:tblGrid>
      <w:tr>
        <w:trPr>
          <w:trHeight w:val="1158" w:hRule="atLeast"/>
        </w:trPr>
        <w:tc>
          <w:tcPr>
            <w:tcW w:w="34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283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СОГЛАСОВАНО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909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______________(Подрядчик )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_______________(ФИО)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Заказчик:______________________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3855" w:firstLine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909" w:hanging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b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szCs w:val="20"/>
              </w:rPr>
              <w:t xml:space="preserve">_____________(Заказчик )     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51" w:firstLine="720"/>
              <w:jc w:val="center"/>
              <w:rPr/>
            </w:pPr>
            <w:r>
              <w:rPr>
                <w:rFonts w:ascii="Times New Roman" w:hAnsi="Times New Roman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szCs w:val="20"/>
              </w:rPr>
              <w:t>______________(</w:t>
            </w:r>
            <w:r>
              <w:rPr>
                <w:rFonts w:ascii="Times New Roman" w:hAnsi="Times New Roman"/>
                <w:sz w:val="20"/>
                <w:szCs w:val="20"/>
              </w:rPr>
              <w:t>ФИО)</w:t>
            </w:r>
          </w:p>
        </w:tc>
      </w:tr>
      <w:tr>
        <w:trPr/>
        <w:tc>
          <w:tcPr>
            <w:tcW w:w="346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9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Утвержден: __ ______________202__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Times New Roman" w:hAnsi="Times New Roman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N ССРСС-________</w:t>
            </w:r>
          </w:p>
        </w:tc>
      </w:tr>
      <w:tr>
        <w:trPr>
          <w:trHeight w:val="23" w:hRule="atLeast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260"/>
        <w:gridCol w:w="1140"/>
        <w:gridCol w:w="231"/>
        <w:gridCol w:w="1138"/>
        <w:gridCol w:w="328"/>
        <w:gridCol w:w="1207"/>
        <w:gridCol w:w="322"/>
        <w:gridCol w:w="1039"/>
        <w:gridCol w:w="1462"/>
        <w:gridCol w:w="1324"/>
        <w:gridCol w:w="1460"/>
      </w:tblGrid>
      <w:tr>
        <w:trPr>
          <w:trHeight w:val="212" w:hRule="atLeast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Nп/п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Обоснование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01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6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91" w:hanging="64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86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прочих затрат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>
        <w:trPr>
          <w:trHeight w:val="273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4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2091" w:leader="none"/>
              </w:tabs>
              <w:spacing w:lineRule="auto" w:line="240" w:before="0" w:after="0"/>
              <w:ind w:left="170" w:hanging="42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70" w:hanging="141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4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907" w:firstLine="1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7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98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(наименование)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284" w:firstLine="283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8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>
      <w:pPr>
        <w:pStyle w:val="Normal"/>
        <w:spacing w:lineRule="auto" w:line="240" w:before="0" w:after="0"/>
        <w:ind w:left="35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5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8646" w:hanging="0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№1.2 </w:t>
      </w:r>
    </w:p>
    <w:p>
      <w:pPr>
        <w:pStyle w:val="Normal"/>
        <w:widowControl w:val="false"/>
        <w:spacing w:lineRule="auto" w:line="240" w:before="0" w:after="0"/>
        <w:ind w:left="5811" w:hanging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</w:t>
      </w:r>
      <w:r>
        <w:rPr>
          <w:rFonts w:cs="Arial" w:ascii="Times New Roman" w:hAnsi="Times New Roman"/>
          <w:color w:val="000000"/>
        </w:rPr>
        <w:t xml:space="preserve">к </w:t>
      </w:r>
      <w:r>
        <w:rPr>
          <w:rFonts w:cs="Arial" w:ascii="Times New Roman" w:hAnsi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6804" w:leader="none"/>
        </w:tabs>
        <w:spacing w:lineRule="auto" w:line="240" w:before="0" w:after="0"/>
        <w:ind w:left="5811"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lineRule="auto" w:line="240" w:before="0" w:after="0"/>
        <w:ind w:left="5811" w:firstLine="720"/>
        <w:jc w:val="right"/>
        <w:rPr>
          <w:rFonts w:cs="Arial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rPr>
          <w:rFonts w:ascii="Times New Roman" w:hAnsi="Times New Roman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                                   </w:t>
      </w:r>
      <w:r>
        <w:rPr/>
        <w:t xml:space="preserve">к договору от________№_____ </w:t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224"/>
        <w:gridCol w:w="9690"/>
      </w:tblGrid>
      <w:tr>
        <w:trPr/>
        <w:tc>
          <w:tcPr>
            <w:tcW w:w="122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Заказчик</w:t>
            </w:r>
          </w:p>
        </w:tc>
        <w:tc>
          <w:tcPr>
            <w:tcW w:w="969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22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69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</w:tc>
      </w:tr>
      <w:tr>
        <w:trPr/>
        <w:tc>
          <w:tcPr>
            <w:tcW w:w="109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Утвержден __ 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(ссылка на документ об утверждении)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977"/>
      </w:tblGrid>
      <w:tr>
        <w:trPr/>
        <w:tc>
          <w:tcPr>
            <w:tcW w:w="10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N ССРСС-________</w:t>
            </w:r>
          </w:p>
        </w:tc>
      </w:tr>
      <w:tr>
        <w:trPr/>
        <w:tc>
          <w:tcPr>
            <w:tcW w:w="1097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706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7"/>
        <w:gridCol w:w="990"/>
        <w:gridCol w:w="295"/>
        <w:gridCol w:w="1634"/>
        <w:gridCol w:w="56"/>
        <w:gridCol w:w="1700"/>
        <w:gridCol w:w="13"/>
        <w:gridCol w:w="1265"/>
        <w:gridCol w:w="1418"/>
        <w:gridCol w:w="1134"/>
        <w:gridCol w:w="1772"/>
      </w:tblGrid>
      <w:tr>
        <w:trPr>
          <w:trHeight w:val="311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Nп/п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Обоснование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6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91" w:hanging="64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86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13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прочих затрат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>
        <w:trPr>
          <w:trHeight w:val="144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>
        <w:trPr>
          <w:trHeight w:val="287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Всего по ССР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Сумма изменения</w:t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3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091" w:leader="none"/>
              </w:tabs>
              <w:spacing w:lineRule="auto" w:line="240" w:before="0" w:after="0"/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5" w:hanging="425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проектной организации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3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hanging="141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Главный инженер проекта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1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7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5589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71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198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171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89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1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1" w:hanging="141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Заказчик</w:t>
            </w:r>
          </w:p>
        </w:tc>
        <w:tc>
          <w:tcPr>
            <w:tcW w:w="899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71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92" w:type="dxa"/>
            <w:gridSpan w:val="8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[должность, подпись (инициалы, фамилия)]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426" w:right="567" w:gutter="0" w:header="0" w:top="0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№1.3 </w:t>
      </w:r>
    </w:p>
    <w:p>
      <w:pPr>
        <w:pStyle w:val="Normal"/>
        <w:widowControl w:val="false"/>
        <w:spacing w:lineRule="auto" w:line="240" w:before="0" w:after="0"/>
        <w:ind w:left="5811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5811" w:hanging="0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к Требованиям </w:t>
      </w:r>
      <w:r>
        <w:rPr>
          <w:rFonts w:cs="Arial" w:ascii="Times New Roman" w:hAnsi="Times New Roman"/>
          <w:color w:val="000000"/>
        </w:rPr>
        <w:t xml:space="preserve">к </w:t>
      </w:r>
      <w:r>
        <w:rPr>
          <w:rFonts w:cs="Arial" w:ascii="Times New Roman" w:hAnsi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>
        <w:rPr>
          <w:rFonts w:cs="Arial" w:ascii="Times New Roman" w:hAnsi="Times New Roman"/>
          <w:sz w:val="20"/>
          <w:szCs w:val="20"/>
        </w:rPr>
        <w:t xml:space="preserve">к договору от_______№_____ 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4"/>
        <w:gridCol w:w="850"/>
        <w:gridCol w:w="851"/>
        <w:gridCol w:w="1276"/>
        <w:gridCol w:w="1276"/>
        <w:gridCol w:w="1700"/>
        <w:gridCol w:w="1702"/>
        <w:gridCol w:w="2125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54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54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54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357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7" w:hanging="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№1.4 </w:t>
      </w:r>
    </w:p>
    <w:p>
      <w:pPr>
        <w:pStyle w:val="Normal"/>
        <w:widowControl w:val="false"/>
        <w:spacing w:lineRule="auto" w:line="240" w:before="0" w:after="0"/>
        <w:ind w:left="5811" w:hanging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</w:t>
      </w:r>
      <w:r>
        <w:rPr>
          <w:rFonts w:cs="Arial" w:ascii="Times New Roman" w:hAnsi="Times New Roman"/>
          <w:color w:val="000000"/>
        </w:rPr>
        <w:t xml:space="preserve">к </w:t>
      </w:r>
      <w:r>
        <w:rPr>
          <w:rFonts w:cs="Arial" w:ascii="Times New Roman" w:hAnsi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объемов работ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"/>
        <w:gridCol w:w="709"/>
        <w:gridCol w:w="851"/>
        <w:gridCol w:w="1208"/>
        <w:gridCol w:w="917"/>
        <w:gridCol w:w="850"/>
        <w:gridCol w:w="852"/>
        <w:gridCol w:w="850"/>
        <w:gridCol w:w="851"/>
        <w:gridCol w:w="708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63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360" w:hanging="1416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797"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4" w:hanging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9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800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00" w:firstLine="72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426" w:right="924" w:gutter="0" w:header="0" w:top="28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</w:tbl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Приложение№2</w:t>
      </w:r>
      <w:r>
        <w:rPr>
          <w:rFonts w:ascii="Times New Roman" w:hAnsi="Times New Roman"/>
          <w:color w:val="000000"/>
          <w:sz w:val="20"/>
        </w:rPr>
        <w:t xml:space="preserve"> к Требованиям к оформлению и составлению сметной документации </w:t>
      </w:r>
      <w:r>
        <w:rPr>
          <w:rFonts w:ascii="Times New Roman" w:hAnsi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ascii="Times New Roman" w:hAnsi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ОБРАЗЕЦ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01"/>
        <w:gridCol w:w="103"/>
        <w:gridCol w:w="945"/>
        <w:gridCol w:w="1686"/>
        <w:gridCol w:w="756"/>
        <w:gridCol w:w="650"/>
        <w:gridCol w:w="743"/>
        <w:gridCol w:w="370"/>
        <w:gridCol w:w="252"/>
        <w:gridCol w:w="880"/>
        <w:gridCol w:w="880"/>
        <w:gridCol w:w="1167"/>
        <w:gridCol w:w="1209"/>
        <w:gridCol w:w="1555"/>
        <w:gridCol w:w="653"/>
        <w:gridCol w:w="880"/>
        <w:gridCol w:w="1167"/>
        <w:gridCol w:w="753"/>
      </w:tblGrid>
      <w:tr>
        <w:trPr>
          <w:trHeight w:val="30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bookmarkStart w:id="11" w:name="RANGE!A1%3AP40"/>
            <w:bookmarkStart w:id="12" w:name="RANGE!A1%3AP40"/>
            <w:bookmarkEnd w:id="12"/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100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78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СОГЛАСОВАНО: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5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>
        <w:trPr>
          <w:trHeight w:val="225" w:hRule="atLeast"/>
        </w:trPr>
        <w:tc>
          <w:tcPr>
            <w:tcW w:w="100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78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5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100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78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5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10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780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53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4780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>
        <w:trPr>
          <w:trHeight w:val="42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>
        <w:trPr>
          <w:trHeight w:val="120" w:hRule="atLeast"/>
        </w:trPr>
        <w:tc>
          <w:tcPr>
            <w:tcW w:w="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  <w:tr>
        <w:trPr>
          <w:trHeight w:val="345" w:hRule="atLeast"/>
        </w:trPr>
        <w:tc>
          <w:tcPr>
            <w:tcW w:w="100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4546" w:type="dxa"/>
            <w:gridSpan w:val="1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ЛОКАЛЬНЫЙ СМЕТНЫЙ РАСЧЕТ (СМЕТА) № </w:t>
            </w:r>
          </w:p>
        </w:tc>
      </w:tr>
      <w:tr>
        <w:trPr>
          <w:trHeight w:val="165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00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затрат)</w:t>
            </w:r>
          </w:p>
        </w:tc>
      </w:tr>
      <w:tr>
        <w:trPr>
          <w:trHeight w:val="24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Составлен </w:t>
            </w:r>
          </w:p>
        </w:tc>
        <w:tc>
          <w:tcPr>
            <w:tcW w:w="10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ресурсно-индексным</w:t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10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05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4205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100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3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Составлен(а) в текущем уровне цен </w:t>
            </w:r>
          </w:p>
        </w:tc>
        <w:tc>
          <w:tcPr>
            <w:tcW w:w="2519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95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100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3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7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</w:tr>
      <w:tr>
        <w:trPr>
          <w:trHeight w:val="24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7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Средства на оплату труда машинистов</w:t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</w:tr>
      <w:tr>
        <w:trPr>
          <w:trHeight w:val="24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7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чел.-ч.</w:t>
            </w:r>
          </w:p>
        </w:tc>
      </w:tr>
      <w:tr>
        <w:trPr>
          <w:trHeight w:val="24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75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1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8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чел.-ч.</w:t>
            </w:r>
          </w:p>
        </w:tc>
      </w:tr>
      <w:tr>
        <w:trPr>
          <w:trHeight w:val="195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7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>
        <w:trPr>
          <w:trHeight w:val="230" w:hRule="atLeast"/>
        </w:trPr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7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5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00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80" w:hRule="atLeast"/>
        </w:trPr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77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5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1. Новый раздел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Составил:</w:t>
            </w:r>
          </w:p>
        </w:tc>
        <w:tc>
          <w:tcPr>
            <w:tcW w:w="3651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4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30" w:hRule="atLeast"/>
        </w:trPr>
        <w:tc>
          <w:tcPr>
            <w:tcW w:w="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95" w:type="dxa"/>
            <w:gridSpan w:val="1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11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Проверил:</w:t>
            </w:r>
          </w:p>
        </w:tc>
        <w:tc>
          <w:tcPr>
            <w:tcW w:w="3651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44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30" w:hRule="atLeast"/>
        </w:trPr>
        <w:tc>
          <w:tcPr>
            <w:tcW w:w="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4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995" w:type="dxa"/>
            <w:gridSpan w:val="1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11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r>
          </w:p>
        </w:tc>
        <w:tc>
          <w:tcPr>
            <w:tcW w:w="7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sectPr>
          <w:footerReference w:type="even" r:id="rId10"/>
          <w:footerReference w:type="default" r:id="rId11"/>
          <w:footerReference w:type="first" r:id="rId12"/>
          <w:type w:val="nextPage"/>
          <w:pgSz w:orient="landscape" w:w="16838" w:h="11906"/>
          <w:pgMar w:left="720" w:right="568" w:gutter="0" w:header="0" w:top="993" w:footer="709" w:bottom="92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 3</w:t>
      </w:r>
    </w:p>
    <w:p>
      <w:pPr>
        <w:pStyle w:val="Normal"/>
        <w:spacing w:lineRule="auto" w:line="240" w:before="0" w:after="0"/>
        <w:ind w:left="5811" w:firstLine="142"/>
        <w:jc w:val="right"/>
        <w:rPr/>
      </w:pPr>
      <w:r>
        <w:rPr>
          <w:rFonts w:ascii="Times New Roman" w:hAnsi="Times New Roman"/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реконструкции и техническому перевооружению</w:t>
      </w:r>
    </w:p>
    <w:p>
      <w:pPr>
        <w:pStyle w:val="Normal"/>
        <w:shd w:val="clear" w:color="auto" w:fill="FFFFFF"/>
        <w:spacing w:lineRule="auto" w:line="240" w:before="0" w:after="0"/>
        <w:ind w:left="142" w:hanging="142"/>
        <w:rPr>
          <w:rFonts w:ascii="Times New Roman" w:hAnsi="Times New Roman"/>
        </w:rPr>
      </w:pPr>
      <w:r>
        <w:rPr/>
        <w:t>Образец № 3п</w:t>
      </w:r>
    </w:p>
    <w:tbl>
      <w:tblPr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05"/>
      </w:tblGrid>
      <w:tr>
        <w:trPr/>
        <w:tc>
          <w:tcPr>
            <w:tcW w:w="10205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b/>
                <w:bCs/>
              </w:rPr>
            </w:pPr>
            <w:r>
              <w:rPr/>
              <w:t xml:space="preserve"> </w:t>
            </w:r>
            <w:r>
              <w:rPr/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5133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1. Расчет заработной платы</w:t>
            </w:r>
            <w:r>
              <w:rPr/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000" w:noHBand="0" w:noVBand="0" w:firstColumn="0" w:lastRow="0" w:lastColumn="0" w:firstRow="0"/>
            </w:tblPr>
            <w:tblGrid>
              <w:gridCol w:w="575"/>
              <w:gridCol w:w="2209"/>
              <w:gridCol w:w="1107"/>
              <w:gridCol w:w="1185"/>
              <w:gridCol w:w="1417"/>
              <w:gridCol w:w="1417"/>
              <w:gridCol w:w="1738"/>
            </w:tblGrid>
            <w:tr>
              <w:trPr>
                <w:tblHeader w:val="true"/>
              </w:trPr>
              <w:tc>
                <w:tcPr>
                  <w:tcW w:w="57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0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2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 1 день</w:t>
                  </w:r>
                </w:p>
              </w:tc>
              <w:tc>
                <w:tcPr>
                  <w:tcW w:w="173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0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</w:tr>
            <w:tr>
              <w:trPr/>
              <w:tc>
                <w:tcPr>
                  <w:tcW w:w="57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>
              <w:trPr/>
              <w:tc>
                <w:tcPr>
                  <w:tcW w:w="57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0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3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/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3. Командировочные расходы (по расчету)______________________________________________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(руб.)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20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Приложение № 3.1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Требованиям к оформлению и </w:t>
      </w:r>
    </w:p>
    <w:p>
      <w:pPr>
        <w:pStyle w:val="Normal"/>
        <w:spacing w:lineRule="auto" w:line="240" w:before="0" w:after="0"/>
        <w:ind w:left="5811" w:firstLine="857"/>
        <w:jc w:val="right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составлению сметной документации </w:t>
      </w:r>
      <w:r>
        <w:rPr>
          <w:rFonts w:ascii="Times New Roman" w:hAnsi="Times New Roman"/>
          <w:color w:val="000000"/>
          <w:sz w:val="20"/>
        </w:rPr>
        <w:t>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3</w:t>
      </w:r>
      <w:r>
        <w:rPr>
          <w:rFonts w:ascii="Times New Roman" w:hAnsi="Times New Roman"/>
        </w:rPr>
        <w:t xml:space="preserve"> Требованиям к оформлению и составлению сметной документации на выполнение строительно-монтажных работ по программе реконструкции и техническому перевооружению). 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u w:val="single"/>
        </w:rPr>
        <w:t>округлять до целых рублей.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u w:val="single"/>
        </w:rPr>
      </w:pPr>
      <w:r>
        <w:rPr>
          <w:rFonts w:eastAsia="Calibri" w:ascii="Times New Roman" w:hAnsi="Times New Roman"/>
          <w:lang w:eastAsia="en-US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lang w:eastAsia="en-US"/>
        </w:rPr>
        <w:t>);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u w:val="single"/>
        </w:rPr>
      </w:pPr>
      <w:r>
        <w:rPr>
          <w:rFonts w:eastAsia="Calibri" w:ascii="Times New Roman" w:hAnsi="Times New Roman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 к пояснительной записке по заполнению формы 3п)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>Лимиты командировочных расходов не более: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суточные - 700 руб./сутки;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проживание - до 5000 руб./сутки;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/>
          <w:i/>
          <w:i/>
          <w:color w:val="000000"/>
        </w:rPr>
      </w:pPr>
      <w:r>
        <w:rPr>
          <w:rFonts w:eastAsia="Calibri" w:ascii="Times New Roman" w:hAnsi="Times New Roman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</w:rPr>
        <w:t>класс–эконом с багажом до 20 (двадцати) кг, ручная кладь до 10 (десяти) кг</w:t>
      </w:r>
      <w:r>
        <w:rPr>
          <w:rFonts w:eastAsia="Calibri" w:ascii="Times New Roman" w:hAnsi="Times New Roman"/>
          <w:lang w:eastAsia="en-US"/>
        </w:rPr>
        <w:t>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rFonts w:ascii="Times New Roman" w:hAnsi="Times New Roman"/>
        </w:rPr>
        <w:t>Методом анализа ТКП</w:t>
      </w:r>
      <w:r>
        <w:rPr>
          <w:rFonts w:eastAsia="Calibri" w:ascii="Times New Roman" w:hAnsi="Times New Roman"/>
          <w:lang w:eastAsia="en-US"/>
        </w:rPr>
        <w:t>.</w:t>
      </w:r>
    </w:p>
    <w:p>
      <w:pPr>
        <w:sectPr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993" w:right="924" w:gutter="0" w:header="0" w:top="568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0"/>
        </w:rPr>
      </w:pPr>
      <w:r>
        <w:rPr>
          <w:rFonts w:eastAsia="Calibri" w:ascii="Times New Roman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СПРАВКА от__________ (указать дату составления справки) (Образец)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hanging="567"/>
        <w:jc w:val="right"/>
        <w:rPr/>
      </w:pPr>
      <w:r>
        <w:rPr>
          <w:rFonts w:ascii="Times New Roman" w:hAnsi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hanging="567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Расчет командировочных расходов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0787" w:type="dxa"/>
        <w:jc w:val="left"/>
        <w:tblInd w:w="-45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59"/>
        <w:gridCol w:w="643"/>
        <w:gridCol w:w="896"/>
        <w:gridCol w:w="1020"/>
        <w:gridCol w:w="1276"/>
        <w:gridCol w:w="750"/>
        <w:gridCol w:w="1203"/>
        <w:gridCol w:w="1308"/>
        <w:gridCol w:w="900"/>
        <w:gridCol w:w="942"/>
        <w:gridCol w:w="1277"/>
        <w:gridCol w:w="11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транспорта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 проезда, руб. (без НДС)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Кол-во дней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Стоимость проживания, руб./сут. </w:t>
              <w:br/>
              <w:t>(без НДС)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Кол-во командировок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Кол-во командированных человек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9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пункта 1 в пункт 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пункта 1 в пункт 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пункта 2 в пункт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пункта 4 в пункт 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 стоимость командировочных расходов из пункта 1 в пункт 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9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 пункта 5 в пункт 1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пункта 5 в пункт 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пункта 4 в пункт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 пункта 2 в пункт 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 стоимость командировочных расходов из пункта 5 в пункт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8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стоимость командировочных расходов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Приложение№5</w:t>
      </w:r>
      <w:r>
        <w:rPr>
          <w:rFonts w:ascii="Times New Roman" w:hAnsi="Times New Roman"/>
          <w:color w:val="000000"/>
          <w:sz w:val="20"/>
          <w:lang w:eastAsia="ru-RU"/>
        </w:rPr>
        <w:t xml:space="preserve"> </w:t>
      </w:r>
    </w:p>
    <w:p>
      <w:pPr>
        <w:pStyle w:val="Normal"/>
        <w:suppressAutoHyphens w:val="false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u w:val="single"/>
          <w:lang w:eastAsia="ru-RU"/>
        </w:rPr>
      </w:pPr>
      <w:r>
        <w:rPr>
          <w:rFonts w:ascii="Times New Roman" w:hAnsi="Times New Roman"/>
          <w:color w:val="000000"/>
          <w:sz w:val="20"/>
          <w:lang w:eastAsia="ru-RU"/>
        </w:rPr>
        <w:t xml:space="preserve">к Требованиям к оформлению и составлению сметной документации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на работы</w:t>
      </w:r>
      <w:r>
        <w:rPr>
          <w:rFonts w:ascii="Times New Roman" w:hAnsi="Times New Roman"/>
          <w:color w:val="000000"/>
          <w:sz w:val="20"/>
          <w:lang w:eastAsia="ru-RU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sz w:val="24"/>
          <w:lang w:eastAsia="en-US"/>
        </w:rPr>
      </w:pPr>
      <w:r>
        <w:rPr>
          <w:rFonts w:eastAsia="Calibri" w:ascii="Times New Roman" w:hAnsi="Times New Roman"/>
          <w:b/>
          <w:sz w:val="24"/>
          <w:lang w:eastAsia="en-US"/>
        </w:rPr>
        <w:t>Метод расчета индекса инфляции.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sz w:val="24"/>
          <w:lang w:eastAsia="en-US"/>
        </w:rPr>
        <w:t xml:space="preserve"> </w:t>
      </w:r>
      <w:r>
        <w:rPr>
          <w:rFonts w:eastAsia="Calibri" w:ascii="Times New Roman" w:hAnsi="Times New Roman"/>
          <w:lang w:eastAsia="en-US"/>
        </w:rPr>
        <w:t>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(ИПЦ базовый, по строке - Показатели инфляции / в среднем за год ) установленного в целом за год: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         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инфл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мес</m:t>
            </m:r>
          </m:sub>
        </m:sSub>
        <m:r>
          <w:rPr>
            <w:rFonts w:ascii="Cambria Math" w:hAnsi="Cambria Math"/>
          </w:rPr>
          <m:t xml:space="preserve">=</m:t>
        </m:r>
        <m:rad>
          <m:deg>
            <m:r>
              <w:rPr>
                <w:rFonts w:ascii="Cambria Math" w:hAnsi="Cambria Math"/>
              </w:rPr>
              <m:t xml:space="preserve">12</m:t>
            </m:r>
          </m:deg>
          <m:e>
            <m:sSub>
              <m:e>
                <m:r>
                  <w:rPr>
                    <w:rFonts w:ascii="Cambria Math" w:hAnsi="Cambria Math"/>
                  </w:rPr>
                  <m:t xml:space="preserve">И</m:t>
                </m:r>
              </m:e>
              <m:sub>
                <m:r>
                  <w:rPr>
                    <w:rFonts w:ascii="Cambria Math" w:hAnsi="Cambria Math"/>
                  </w:rPr>
                  <m:t xml:space="preserve">инфл</m:t>
                </m:r>
                <m:r>
                  <w:rPr>
                    <w:rFonts w:ascii="Cambria Math" w:hAnsi="Cambria Math"/>
                  </w:rPr>
                  <m:t xml:space="preserve">год</m:t>
                </m:r>
              </m:sub>
            </m:sSub>
          </m:e>
        </m:rad>
      </m:oMath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где: 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И инфл мес – индекс прогнозной инфляции на один месяц, полученное значение округляется до 4 знаков после запятой;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И инфл год – индекс-дефлятор Министерства экономического развития Российской Федерации (ИПЦ базовый, по строке - Показатели инфляции / в среднем за год).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Срок выполнения работ превышает календарный год, индекс прогнозной инфляции для второго и последующих годов, определяется с учетом установленных договором сроков строительства по формуле: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       </w:t>
      </w:r>
      <w:r>
        <w:rPr>
          <w:rFonts w:eastAsia="Calibri" w:ascii="Times New Roman" w:hAnsi="Times New Roman"/>
          <w:lang w:eastAsia="en-US"/>
        </w:rPr>
        <w:t>Цд=С * Иинфл   (1)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где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Цд – стоимость договора (этапа);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С - сметная стоимость подрядных работ, подлежащих выполнению подрядчиком;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Иинф – индекс инфляции, рассчитываемый по формуле: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      </w:t>
      </w:r>
      <w:r>
        <w:rPr>
          <w:rFonts w:eastAsia="Calibri" w:ascii="Times New Roman" w:hAnsi="Times New Roman"/>
          <w:lang w:eastAsia="en-US"/>
        </w:rPr>
        <w:t>И инф = Д1*К1+Д2*К2+...+Дi*Кi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где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Д1, Д2, Дi - доля сметной стоимости работ соответственно в 1-й, 2-й, 3-й, i-ый годы строительства;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i - год завершения строительства объекта;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К1 - индекс прогнозной инфляции за первый год строительства объекта,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К2 -индекс прогнозной инфляции, учитывающий инфляцию за первый и второй годы строительства объекта.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Кi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этом, 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(1).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 xml:space="preserve">Если для определения плановой цены (далее-ПЦ) используется сметная документация, разработанная на основании СНБ применяемой на дату формирования ПЦ, то пересчет сметной стоимости работ в уровень цен на дату определения ПЦ осуществляется с использованием индексов изменения сметной стоимости, размещенных Минстроем России в ФРСН, действующих на дату определения ПЦ.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u w:val="single"/>
          <w:lang w:eastAsia="en-US"/>
        </w:rPr>
      </w:pPr>
      <w:r>
        <w:rPr>
          <w:rFonts w:eastAsia="Calibri" w:ascii="Times New Roman" w:hAnsi="Times New Roman"/>
          <w:lang w:eastAsia="en-US"/>
        </w:rPr>
        <w:t>В случае если сметная документация разработана в СНБ не применяемой на дату определения ПЦ, то пересчет сметной стоимости работ в уровень цен на дату определения ПЦ осуществляется с использованием индекса фактической инфляции (опубликованный на сайте https://www.fedstat.ru/, индексы цен на продукцию (затраты, услуги) инвестиционного назначения с 2017г., по Российской Федерации в целом, с учетом вида экономической деятельности). Пример расчета индекса фактической инфляции приведен в приложении №5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</w:r>
      <w:r>
        <w:br w:type="page"/>
      </w:r>
    </w:p>
    <w:p>
      <w:pPr>
        <w:pStyle w:val="Dt-p"/>
        <w:shd w:val="clear" w:color="auto" w:fill="FFFFFF"/>
        <w:spacing w:beforeAutospacing="0" w:before="0" w:after="0"/>
        <w:ind w:firstLine="567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Пример расчета единого индекса-дефлятора к  договору.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В соответствии с условиями Договора начало строительства – сентябрь 2024г, окончание декабрь 2025 г. Продолжительность реконструкции / строительства составляет– 16 месяцев.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Сметная документация составлена с применением СНБ – ГЭСН-2020, ФЕР – 2020 (с изм 1-9).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Доля сметной стоимости в 2024 году – 0,25 (4 мес. из 16) 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Доля сметной стоимости в 2025 году - 0,75 (12 мес. из 16).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Годовой индекс инфляции по данным Министерства экономического развития (письмо от __.__.20__г №_____ «__________________»): 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на 2024г. - 114,6%, 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 2025г. – 107,0%:</w: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Ежемесячный индекс-инфляции:</w:t>
      </w:r>
    </w:p>
    <w:p>
      <w:pPr>
        <w:pStyle w:val="ConsPlusNormal1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color w:val="000000"/>
        </w:rPr>
      </w:pPr>
      <w:r>
        <w:rPr/>
        <mc:AlternateContent>
          <mc:Choice Requires="wps">
            <w:drawing>
              <wp:inline distT="0" distB="0" distL="0" distR="0" wp14:anchorId="30F3ACCA">
                <wp:extent cx="2654935" cy="228600"/>
                <wp:effectExtent l="0" t="0" r="0" b="0"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00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И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инф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мес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2024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ad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1.146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1,0114</m:t>
                              </m:r>
                            </m:oMath>
                            <w:r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18.05pt;width:209pt;height:17.95pt;mso-wrap-style:none;v-text-anchor:top;mso-position-vertical:top" wp14:anchorId="30F3ACC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</m:t>
                        </m:r>
                        <m:r>
                          <w:rPr>
                            <w:rFonts w:ascii="Cambria Math" w:hAnsi="Cambria Math"/>
                          </w:rPr>
                          <m:t xml:space="preserve">инф</m:t>
                        </m:r>
                        <m:r>
                          <w:rPr>
                            <w:rFonts w:ascii="Cambria Math" w:hAnsi="Cambria Math"/>
                          </w:rPr>
                          <m:t xml:space="preserve">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2024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1.146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1,0114</m:t>
                        </m:r>
                      </m:oMath>
                      <w:r>
                        <w:rPr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Web"/>
        <w:spacing w:before="0" w:after="0"/>
        <w:rPr>
          <w:rFonts w:ascii="Times New Roman" w:hAnsi="Times New Roman" w:cs="Times New Roman"/>
          <w:iCs/>
          <w:color w:val="000000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И</m:t>
        </m:r>
        <m:r>
          <w:rPr>
            <w:rFonts w:ascii="Cambria Math" w:hAnsi="Cambria Math"/>
          </w:rPr>
          <m:t xml:space="preserve">инф</m:t>
        </m:r>
        <m:r>
          <w:rPr>
            <w:rFonts w:ascii="Cambria Math" w:hAnsi="Cambria Math"/>
          </w:rPr>
          <m:t xml:space="preserve">мес</m:t>
        </m:r>
        <m:r>
          <w:rPr>
            <w:rFonts w:ascii="Cambria Math" w:hAnsi="Cambria Math"/>
          </w:rPr>
          <m:t xml:space="preserve">2025</m:t>
        </m:r>
        <m:r>
          <w:rPr>
            <w:rFonts w:ascii="Cambria Math" w:hAnsi="Cambria Math"/>
          </w:rPr>
          <m:t xml:space="preserve">=</m:t>
        </m:r>
        <m:rad>
          <m:deg>
            <m:r>
              <w:rPr>
                <w:rFonts w:ascii="Cambria Math" w:hAnsi="Cambria Math"/>
              </w:rPr>
              <m:t xml:space="preserve">12</m:t>
            </m:r>
          </m:deg>
          <m:e>
            <m:r>
              <w:rPr>
                <w:rFonts w:ascii="Cambria Math" w:hAnsi="Cambria Math"/>
              </w:rPr>
              <m:t xml:space="preserve">1.07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1,0057</m:t>
        </m:r>
      </m:oMath>
      <w:r>
        <w:rPr>
          <w:rFonts w:cs="Times New Roman" w:ascii="Times New Roman" w:hAnsi="Times New Roman"/>
          <w:iCs/>
          <w:color w:val="000000"/>
        </w:rPr>
        <w:t xml:space="preserve">, </w:t>
      </w:r>
    </w:p>
    <w:p>
      <w:pPr>
        <w:pStyle w:val="ConsPlusNormal1"/>
        <w:widowControl/>
        <w:tabs>
          <w:tab w:val="clear" w:pos="708"/>
          <w:tab w:val="left" w:pos="1134" w:leader="none"/>
        </w:tabs>
        <w:spacing w:before="0" w:after="4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Индекс-инфляции на период исполнения договора</w:t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054C5D90">
                <wp:simplePos x="0" y="0"/>
                <wp:positionH relativeFrom="column">
                  <wp:posOffset>41910</wp:posOffset>
                </wp:positionH>
                <wp:positionV relativeFrom="paragraph">
                  <wp:posOffset>8890</wp:posOffset>
                </wp:positionV>
                <wp:extent cx="3253740" cy="403860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ind w:left="-567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  <m:oMathPara xmlns:m="http://schemas.openxmlformats.org/officeDocument/2006/math"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И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инфл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пер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2024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d>
                                  <m:dPr>
                                    <m:begChr m:val="("/>
                                    <m:endChr m:val=")"/>
                                  </m:dPr>
                                  <m:e>
                                    <m:f>
                                      <m:num>
                                        <m:sSup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 xml:space="preserve">1,0114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 xml:space="preserve">3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 xml:space="preserve">+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1,0173</m:t>
                                </m:r>
                              </m:oMath>
                            </m:oMathPara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3.3pt;margin-top:0.7pt;width:256.15pt;height:31.75pt;mso-wrap-style:none;v-text-anchor:middle" wp14:anchorId="054C5D9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ind w:left="-567" w:hanging="0"/>
                        <w:jc w:val="center"/>
                        <w:rPr/>
                      </w:pPr>
                      <w:r>
                        <w:rPr/>
                      </w:r>
                      <m:oMathPara xmlns:m="http://schemas.openxmlformats.org/officeDocument/2006/math"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И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инфл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пер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2024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d>
                            <m:dPr>
                              <m:begChr m:val="("/>
                              <m:endChr m:val=")"/>
                            </m:dPr>
                            <m:e>
                              <m:f>
                                <m:num>
                                  <m:sSup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1,0114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−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+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1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1,0173</m:t>
                          </m:r>
                        </m:oMath>
                      </m:oMathPara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1"/>
        <w:widowControl/>
        <w:tabs>
          <w:tab w:val="clear" w:pos="708"/>
          <w:tab w:val="left" w:pos="0" w:leader="none"/>
        </w:tabs>
        <w:spacing w:before="0" w:after="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77DE3D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680460" cy="373380"/>
                <wp:effectExtent l="0" t="0" r="0" b="0"/>
                <wp:wrapNone/>
                <wp:docPr id="6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640" cy="37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  <m:oMathPara xmlns:m="http://schemas.openxmlformats.org/officeDocument/2006/math"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И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инфл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пер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2025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sSup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1,0114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3</m:t>
                                    </m:r>
                                  </m:sup>
                                </m:sSup>
                                <m:d>
                                  <m:dPr>
                                    <m:begChr m:val="("/>
                                    <m:endChr m:val=")"/>
                                  </m:dPr>
                                  <m:e>
                                    <m:f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1,0057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−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1,07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2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1,0738</m:t>
                                </m:r>
                              </m:oMath>
                            </m:oMathPara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0pt;margin-top:0.45pt;width:289.75pt;height:29.35pt;mso-wrap-style:none;v-text-anchor:middle;mso-position-horizontal:left;mso-position-horizontal-relative:margin" wp14:anchorId="77DE3D0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jc w:val="center"/>
                        <w:rPr/>
                      </w:pPr>
                      <w:r>
                        <w:rPr/>
                      </w:r>
                      <m:oMathPara xmlns:m="http://schemas.openxmlformats.org/officeDocument/2006/math"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И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инфл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пер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2025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sSup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1,0114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 xml:space="preserve">3</m:t>
                              </m:r>
                            </m:sup>
                          </m:sSup>
                          <m:d>
                            <m:dPr>
                              <m:begChr m:val="("/>
                              <m:endChr m:val=")"/>
                            </m:dPr>
                            <m:e>
                              <m:f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1,0057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−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1,07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 xml:space="preserve">=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1,0738</m:t>
                          </m:r>
                        </m:oMath>
                      </m:oMathPara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134" w:leader="none"/>
        </w:tabs>
        <w:ind w:firstLine="567"/>
        <w:rPr>
          <w:iCs/>
        </w:rPr>
      </w:pPr>
      <w:r>
        <w:rPr>
          <w:rFonts w:ascii="Times New Roman" w:hAnsi="Times New Roman"/>
          <w:iCs/>
        </w:rPr>
        <w:t>Итого индекс-инфляции на 2024-2025гг. 0,25*1,0173+0,75*1,0738=1,0597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Dt-p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rFonts w:ascii="Calibri" w:hAnsi="Calibri" w:cs="Calibri"/>
        </w:rPr>
      </w:pPr>
      <w:r>
        <w:rPr/>
        <w:drawing>
          <wp:inline distT="0" distB="0" distL="0" distR="0">
            <wp:extent cx="5925820" cy="3147060"/>
            <wp:effectExtent l="0" t="0" r="0" b="0"/>
            <wp:docPr id="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0" t="838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t-p"/>
        <w:shd w:val="clear" w:color="auto" w:fill="FFFFFF"/>
        <w:spacing w:beforeAutospacing="0" w:before="0" w:after="280"/>
        <w:ind w:firstLine="567"/>
        <w:jc w:val="both"/>
        <w:textAlignment w:val="baseline"/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Если договором предусмотрен график выполнения работ с разбивкой на этапы, индекс-дефлятор рассчитывается индивидуально для каждого этапа.</w:t>
      </w:r>
      <w:r>
        <w:br w:type="page"/>
      </w:r>
    </w:p>
    <w:p>
      <w:pPr>
        <w:pStyle w:val="Dt-p"/>
        <w:shd w:val="clear" w:color="auto" w:fill="FFFFFF"/>
        <w:spacing w:beforeAutospacing="0" w:before="0" w:after="280"/>
        <w:ind w:firstLine="567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Пример расчета индекса фактической инфляции</w:t>
      </w:r>
    </w:p>
    <w:p>
      <w:pPr>
        <w:pStyle w:val="Dt-p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iCs/>
        </w:rPr>
      </w:pPr>
      <w:r>
        <w:rPr>
          <w:iCs/>
        </w:rPr>
        <w:t xml:space="preserve">В соответствии с условиями Договора начало строительства – декабрь 2023г, окончание май 2024 г. Продолжительность реконструкции / строительства составляет–6 месяцев. Уровень цен – </w:t>
      </w:r>
      <w:r>
        <w:rPr>
          <w:iCs/>
          <w:u w:val="single"/>
        </w:rPr>
        <w:t>3 квартал 2022</w:t>
      </w:r>
      <w:r>
        <w:rPr>
          <w:iCs/>
        </w:rPr>
        <w:t xml:space="preserve"> г. Сметная документация составлена с применением СНБ – ГЭСН-2020, ФЕР-2020 (с изм 1-7). </w:t>
      </w:r>
    </w:p>
    <w:p>
      <w:pPr>
        <w:pStyle w:val="Dt-p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iCs/>
        </w:rPr>
      </w:pPr>
      <w:r>
        <w:rPr>
          <w:iCs/>
        </w:rPr>
        <w:t>Т.к. сметная документация разработана с применением СНБ не действующей на дату определения ПЦ, то расчет сметной стоимости работ в уровень цен на дату определения ПЦ осуществляется с использованием индекса фактической инфляции.</w:t>
      </w:r>
    </w:p>
    <w:p>
      <w:pPr>
        <w:pStyle w:val="Dt-p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iCs/>
        </w:rPr>
      </w:pPr>
      <w:r>
        <w:rPr>
          <w:iCs/>
        </w:rPr>
      </w:r>
    </w:p>
    <w:p>
      <w:pPr>
        <w:pStyle w:val="Normal"/>
        <w:jc w:val="both"/>
        <w:rPr>
          <w:rFonts w:cs="Calibri"/>
        </w:rPr>
      </w:pPr>
      <w:r>
        <w:rPr/>
        <w:drawing>
          <wp:inline distT="0" distB="0" distL="0" distR="0">
            <wp:extent cx="5937885" cy="4465320"/>
            <wp:effectExtent l="0" t="0" r="0" b="0"/>
            <wp:docPr id="9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t-p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t-p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/>
      </w:pPr>
      <w:r>
        <w:rPr/>
      </w:r>
    </w:p>
    <w:sectPr>
      <w:footerReference w:type="even" r:id="rId18"/>
      <w:footerReference w:type="default" r:id="rId19"/>
      <w:footerReference w:type="first" r:id="rId20"/>
      <w:footnotePr>
        <w:numFmt w:val="decimal"/>
        <w:numRestart w:val="eachPage"/>
      </w:footnotePr>
      <w:type w:val="nextPage"/>
      <w:pgSz w:w="11906" w:h="16838"/>
      <w:pgMar w:left="1276" w:right="709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Garamond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5</w:t>
    </w:r>
    <w:r>
      <w:rPr>
        <w:rFonts w:cs="Wingdings" w:ascii="Wingdings" w:hAnsi="Wingdings"/>
      </w:rPr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12</w:t>
    </w:r>
    <w:r>
      <w:rPr>
        <w:rFonts w:cs="Wingdings" w:ascii="Wingdings" w:hAnsi="Wingdings"/>
      </w:rPr>
      <w:fldChar w:fldCharType="end"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15</w:t>
    </w:r>
    <w:r>
      <w:rPr>
        <w:rFonts w:cs="Wingdings" w:ascii="Wingdings" w:hAnsi="Wingdings"/>
      </w:rPr>
      <w:fldChar w:fldCharType="end"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15</w:t>
    </w:r>
    <w:r>
      <w:rPr>
        <w:rFonts w:cs="Wingdings" w:ascii="Wingdings" w:hAnsi="Wingdings"/>
      </w:rPr>
      <w:fldChar w:fldCharType="end"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8</w:t>
    </w:r>
    <w:r>
      <w:rPr>
        <w:rFonts w:cs="Wingdings" w:ascii="Wingdings" w:hAnsi="Wingdings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8</w:t>
    </w:r>
    <w:r>
      <w:rPr>
        <w:rFonts w:cs="Wingdings" w:ascii="Wingdings" w:hAnsi="Wingdings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10</w:t>
    </w:r>
    <w:r>
      <w:rPr>
        <w:rFonts w:cs="Wingdings" w:ascii="Wingdings" w:hAnsi="Wingdings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10</w:t>
    </w:r>
    <w:r>
      <w:rPr>
        <w:rFonts w:cs="Wingdings" w:ascii="Wingdings" w:hAnsi="Wingdings"/>
      </w:rPr>
      <w:fldChar w:fldCharType="end"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Wingdings" w:ascii="Wingdings" w:hAnsi="Wingdings"/>
      </w:rPr>
      <w:fldChar w:fldCharType="begin"/>
    </w:r>
    <w:r>
      <w:rPr>
        <w:rFonts w:cs="Wingdings" w:ascii="Wingdings" w:hAnsi="Wingdings"/>
      </w:rPr>
      <w:instrText xml:space="preserve"> PAGE </w:instrText>
    </w:r>
    <w:r>
      <w:rPr>
        <w:rFonts w:cs="Wingdings" w:ascii="Wingdings" w:hAnsi="Wingdings"/>
      </w:rPr>
      <w:fldChar w:fldCharType="separate"/>
    </w:r>
    <w:r>
      <w:rPr>
        <w:rFonts w:cs="Wingdings" w:ascii="Wingdings" w:hAnsi="Wingdings"/>
      </w:rPr>
      <w:t>12</w:t>
    </w:r>
    <w:r>
      <w:rPr>
        <w:rFonts w:cs="Wingdings" w:ascii="Wingdings" w:hAnsi="Wingdings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371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9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9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val="bestFit" w:percent="157"/>
  <w:embedSystemFonts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240"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40"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x-none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240"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x-none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cs="Cambria"/>
      <w:color w:val="243F60"/>
      <w:sz w:val="20"/>
      <w:szCs w:val="20"/>
      <w:lang w:val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cs="Cambria"/>
      <w:color w:val="4F81BD"/>
      <w:sz w:val="20"/>
      <w:szCs w:val="20"/>
      <w:lang w:val="x-none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color w:val="000000"/>
    </w:rPr>
  </w:style>
  <w:style w:type="character" w:styleId="WW8Num2z2" w:customStyle="1">
    <w:name w:val="WW8Num2z2"/>
    <w:qFormat/>
    <w:rPr>
      <w:rFonts w:ascii="Garamond" w:hAnsi="Garamond" w:cs="Garamond"/>
      <w:i w:val="false"/>
    </w:rPr>
  </w:style>
  <w:style w:type="character" w:styleId="WW8Num3z0" w:customStyle="1">
    <w:name w:val="WW8Num3z0"/>
    <w:qFormat/>
    <w:rPr>
      <w:b w:val="false"/>
      <w:u w:val="none"/>
    </w:rPr>
  </w:style>
  <w:style w:type="character" w:styleId="WW8Num4z0" w:customStyle="1">
    <w:name w:val="WW8Num4z0"/>
    <w:qFormat/>
    <w:rPr>
      <w:rFonts w:ascii="Symbol" w:hAnsi="Symbol" w:cs="Symbol"/>
      <w:color w:val="000000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Times New Roman" w:hAnsi="Times New Roman" w:eastAsia="Calibri" w:cs="Times New Roman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u w:val="none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>
      <w:u w:val="none"/>
    </w:rPr>
  </w:style>
  <w:style w:type="character" w:styleId="WW8Num13z2" w:customStyle="1">
    <w:name w:val="WW8Num13z2"/>
    <w:qFormat/>
    <w:rPr>
      <w:strike w:val="false"/>
      <w:dstrike w:val="false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i w:val="false"/>
    </w:rPr>
  </w:style>
  <w:style w:type="character" w:styleId="WW8Num17z1" w:customStyle="1">
    <w:name w:val="WW8Num17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17z2" w:customStyle="1">
    <w:name w:val="WW8Num17z2"/>
    <w:qFormat/>
    <w:rPr>
      <w:b w:val="false"/>
      <w:sz w:val="28"/>
      <w:szCs w:val="28"/>
    </w:rPr>
  </w:style>
  <w:style w:type="character" w:styleId="WW8Num17z3" w:customStyle="1">
    <w:name w:val="WW8Num17z3"/>
    <w:qFormat/>
    <w:rPr/>
  </w:style>
  <w:style w:type="character" w:styleId="WW8Num18z0" w:customStyle="1">
    <w:name w:val="WW8Num18z0"/>
    <w:qFormat/>
    <w:rPr>
      <w:b w:val="false"/>
      <w:i w:val="false"/>
    </w:rPr>
  </w:style>
  <w:style w:type="character" w:styleId="WW8Num18z1" w:customStyle="1">
    <w:name w:val="WW8Num18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18z2" w:customStyle="1">
    <w:name w:val="WW8Num18z2"/>
    <w:qFormat/>
    <w:rPr/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1" w:customStyle="1">
    <w:name w:val="Основной шрифт абзаца1"/>
    <w:qFormat/>
    <w:rPr/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yle" w:customStyle="1">
    <w:name w:val="Текст примечания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Apple-style-span" w:customStyle="1">
    <w:name w:val="apple-style-span"/>
    <w:basedOn w:val="1"/>
    <w:qFormat/>
    <w:rPr/>
  </w:style>
  <w:style w:type="character" w:styleId="Apple-converted-space" w:customStyle="1">
    <w:name w:val="apple-converted-space"/>
    <w:basedOn w:val="1"/>
    <w:qFormat/>
    <w:rPr/>
  </w:style>
  <w:style w:type="character" w:styleId="Style2" w:customStyle="1">
    <w:name w:val="Текст сноски Знак"/>
    <w:qFormat/>
    <w:rPr>
      <w:rFonts w:ascii="Times New Roman" w:hAnsi="Times New Roman" w:eastAsia="Calibri" w:cs="Times New Roman"/>
      <w:sz w:val="20"/>
      <w:szCs w:val="20"/>
    </w:rPr>
  </w:style>
  <w:style w:type="character" w:styleId="Style3" w:customStyle="1">
    <w:name w:val="Символ сноски"/>
    <w:qFormat/>
    <w:rPr>
      <w:vertAlign w:val="superscript"/>
    </w:rPr>
  </w:style>
  <w:style w:type="character" w:styleId="12" w:customStyle="1">
    <w:name w:val="Подпункт Знак1"/>
    <w:qFormat/>
    <w:rPr>
      <w:rFonts w:ascii="Times New Roman" w:hAnsi="Times New Roman" w:cs="Times New Roman"/>
      <w:b/>
      <w:sz w:val="28"/>
      <w:lang w:val="x-none"/>
    </w:rPr>
  </w:style>
  <w:style w:type="character" w:styleId="Style4" w:customStyle="1">
    <w:name w:val="Верхний колонтитул Знак"/>
    <w:basedOn w:val="1"/>
    <w:qFormat/>
    <w:rPr/>
  </w:style>
  <w:style w:type="character" w:styleId="Style5" w:customStyle="1">
    <w:name w:val="Нижний колонтитул Знак"/>
    <w:basedOn w:val="1"/>
    <w:qFormat/>
    <w:rPr/>
  </w:style>
  <w:style w:type="character" w:styleId="Linenumber">
    <w:name w:val="line number"/>
    <w:basedOn w:val="1"/>
    <w:qFormat/>
    <w:rPr/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13" w:customStyle="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qFormat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qFormat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eastAsia="Calibri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eastAsia="Calibri" w:cs="Times New Roman"/>
      <w:b/>
      <w:bCs/>
      <w:sz w:val="20"/>
      <w:szCs w:val="20"/>
    </w:rPr>
  </w:style>
  <w:style w:type="character" w:styleId="Style12" w:customStyle="1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3" w:customStyle="1">
    <w:name w:val="Заголовок Знак"/>
    <w:qFormat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FollowedHyperlink">
    <w:name w:val="FollowedHyperlink"/>
    <w:rPr>
      <w:color w:val="954F72"/>
      <w:u w:val="single"/>
    </w:rPr>
  </w:style>
  <w:style w:type="character" w:styleId="Style14" w:customStyle="1">
    <w:name w:val="Абзац списка Знак"/>
    <w:qFormat/>
    <w:rPr>
      <w:sz w:val="22"/>
      <w:szCs w:val="22"/>
    </w:rPr>
  </w:style>
  <w:style w:type="character" w:styleId="61" w:customStyle="1">
    <w:name w:val="Основной текст (6)_"/>
    <w:qFormat/>
    <w:rPr>
      <w:rFonts w:ascii="Times New Roman" w:hAnsi="Times New Roman" w:cs="Times New Roman"/>
      <w:shd w:fill="FFFFFF" w:val="clear"/>
    </w:rPr>
  </w:style>
  <w:style w:type="character" w:styleId="Style15" w:customStyle="1">
    <w:name w:val="Колонтитул_"/>
    <w:qFormat/>
    <w:rPr>
      <w:rFonts w:ascii="Times New Roman" w:hAnsi="Times New Roman" w:cs="Times New Roman"/>
      <w:shd w:fill="FFFFFF" w:val="clear"/>
    </w:rPr>
  </w:style>
  <w:style w:type="character" w:styleId="Style16" w:customStyle="1">
    <w:name w:val="комментарий"/>
    <w:qFormat/>
    <w:rPr>
      <w:b/>
      <w:i/>
      <w:shd w:fill="FFFF99" w:val="clear"/>
    </w:rPr>
  </w:style>
  <w:style w:type="character" w:styleId="ConsPlusNormal" w:customStyle="1">
    <w:name w:val="ConsPlusNormal Знак"/>
    <w:qFormat/>
    <w:rPr>
      <w:rFonts w:ascii="Arial" w:hAnsi="Arial" w:cs="Arial"/>
    </w:rPr>
  </w:style>
  <w:style w:type="character" w:styleId="14" w:customStyle="1">
    <w:name w:val="Абзац списка Знак1"/>
    <w:qFormat/>
    <w:rPr>
      <w:rFonts w:ascii="Calibri" w:hAnsi="Calibri" w:cs="Calibri"/>
      <w:sz w:val="22"/>
    </w:rPr>
  </w:style>
  <w:style w:type="character" w:styleId="1113" w:customStyle="1">
    <w:name w:val="РГ_1.1.1_3 Знак"/>
    <w:qFormat/>
    <w:rPr>
      <w:rFonts w:ascii="Times New Roman" w:hAnsi="Times New Roman" w:cs="Times New Roman"/>
      <w:sz w:val="28"/>
      <w:szCs w:val="28"/>
    </w:rPr>
  </w:style>
  <w:style w:type="character" w:styleId="Style17" w:customStyle="1">
    <w:name w:val="РГ_текст табл Знак"/>
    <w:qFormat/>
    <w:rPr>
      <w:rFonts w:eastAsia="Calibri" w:cs="Calibri"/>
      <w:sz w:val="24"/>
      <w:szCs w:val="24"/>
    </w:rPr>
  </w:style>
  <w:style w:type="character" w:styleId="Style18" w:customStyle="1">
    <w:name w:val="РГ_номер текста табл Знак"/>
    <w:qFormat/>
    <w:rPr>
      <w:rFonts w:eastAsia="Calibri" w:cs="Calibri"/>
      <w:sz w:val="24"/>
      <w:szCs w:val="22"/>
    </w:rPr>
  </w:style>
  <w:style w:type="character" w:styleId="111" w:customStyle="1">
    <w:name w:val="1.1. таблица Знак"/>
    <w:qFormat/>
    <w:rPr>
      <w:rFonts w:eastAsia="Calibri" w:cs="Calibri"/>
      <w:sz w:val="24"/>
      <w:szCs w:val="22"/>
    </w:rPr>
  </w:style>
  <w:style w:type="character" w:styleId="Terminology" w:customStyle="1">
    <w:name w:val="Terminology"/>
    <w:qFormat/>
    <w:rPr>
      <w:rFonts w:ascii="Arial" w:hAnsi="Arial" w:cs="Arial"/>
      <w:b/>
      <w:bCs w:val="false"/>
      <w:i/>
      <w:iCs w:val="false"/>
      <w:caps/>
      <w:sz w:val="20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6" w:customStyle="1">
    <w:name w:val="Указатель1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17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/>
      <w:sz w:val="20"/>
      <w:szCs w:val="20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Style22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3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4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5" w:customStyle="1">
    <w:name w:val="Пункт Знак"/>
    <w:basedOn w:val="Normal"/>
    <w:qFormat/>
    <w:pPr>
      <w:numPr>
        <w:ilvl w:val="0"/>
        <w:numId w:val="14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6" w:customStyle="1">
    <w:name w:val="Подпункт"/>
    <w:basedOn w:val="Style25"/>
    <w:qFormat/>
    <w:pPr>
      <w:tabs>
        <w:tab w:val="clear" w:pos="1134"/>
        <w:tab w:val="left" w:pos="851" w:leader="none"/>
      </w:tabs>
    </w:pPr>
    <w:rPr>
      <w:lang w:val="x-none"/>
    </w:rPr>
  </w:style>
  <w:style w:type="paragraph" w:styleId="Style27" w:customStyle="1">
    <w:name w:val="Подподпункт"/>
    <w:basedOn w:val="Style26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8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/>
      <w:sz w:val="28"/>
      <w:szCs w:val="20"/>
    </w:rPr>
  </w:style>
  <w:style w:type="paragraph" w:styleId="18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Calibri"/>
      <w:sz w:val="20"/>
      <w:szCs w:val="20"/>
      <w:lang w:val="x-none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Style29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9" w:customStyle="1">
    <w:name w:val="Абзац списка1"/>
    <w:basedOn w:val="Normal"/>
    <w:qFormat/>
    <w:pPr>
      <w:spacing w:before="0" w:after="200"/>
      <w:ind w:left="720" w:hanging="0"/>
      <w:contextualSpacing/>
    </w:pPr>
    <w:rPr/>
  </w:style>
  <w:style w:type="paragraph" w:styleId="Style30" w:customStyle="1">
    <w:name w:val="Колонтитул"/>
    <w:basedOn w:val="Normal"/>
    <w:qFormat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0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Style31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112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rFonts w:eastAsia="Calibri"/>
      <w:i/>
      <w:iCs/>
      <w:color w:val="000000"/>
      <w:sz w:val="20"/>
      <w:szCs w:val="20"/>
      <w:lang w:val="x-none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  <w:lang w:val="x-none"/>
    </w:rPr>
  </w:style>
  <w:style w:type="paragraph" w:styleId="Indexheading">
    <w:name w:val="index heading"/>
    <w:basedOn w:val="15"/>
    <w:qFormat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Heading1"/>
    <w:next w:val="Normal"/>
    <w:qFormat/>
    <w:pPr>
      <w:numPr>
        <w:ilvl w:val="0"/>
        <w:numId w:val="0"/>
      </w:num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eastAsia="Calibri"/>
      <w:sz w:val="24"/>
      <w:szCs w:val="24"/>
      <w:lang w:val="x-none"/>
    </w:rPr>
  </w:style>
  <w:style w:type="paragraph" w:styleId="Style32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17"/>
    <w:next w:val="17"/>
    <w:qFormat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pPr>
      <w:numPr>
        <w:ilvl w:val="0"/>
        <w:numId w:val="3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ListNumber">
    <w:name w:val="List Number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33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3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  <w:lang w:val="x-none"/>
    </w:rPr>
  </w:style>
  <w:style w:type="paragraph" w:styleId="113" w:customStyle="1">
    <w:name w:val="Название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Style34" w:customStyle="1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TOC3">
    <w:name w:val="TOC 3"/>
    <w:basedOn w:val="Normal"/>
    <w:next w:val="Normal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qFormat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pPr>
      <w:numPr>
        <w:ilvl w:val="0"/>
        <w:numId w:val="8"/>
      </w:numPr>
      <w:tabs>
        <w:tab w:val="clear" w:pos="708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114" w:customStyle="1">
    <w:name w:val="РГ_Глава_1"/>
    <w:basedOn w:val="Normal"/>
    <w:qFormat/>
    <w:pPr>
      <w:keepNext w:val="true"/>
      <w:keepLines/>
      <w:numPr>
        <w:ilvl w:val="0"/>
        <w:numId w:val="18"/>
      </w:numPr>
      <w:tabs>
        <w:tab w:val="clear" w:pos="708"/>
        <w:tab w:val="left" w:pos="1985" w:leader="none"/>
      </w:tabs>
      <w:spacing w:lineRule="auto" w:line="240" w:before="0" w:after="0"/>
      <w:jc w:val="center"/>
      <w:outlineLvl w:val="1"/>
    </w:pPr>
    <w:rPr>
      <w:rFonts w:ascii="Times New Roman" w:hAnsi="Times New Roman"/>
      <w:caps/>
      <w:sz w:val="28"/>
      <w:szCs w:val="28"/>
    </w:rPr>
  </w:style>
  <w:style w:type="paragraph" w:styleId="1121" w:customStyle="1">
    <w:name w:val="РГ_1.1._2"/>
    <w:basedOn w:val="Normal"/>
    <w:qFormat/>
    <w:pPr>
      <w:widowControl w:val="false"/>
      <w:tabs>
        <w:tab w:val="clear" w:pos="708"/>
        <w:tab w:val="left" w:pos="360" w:leader="none"/>
      </w:tabs>
      <w:spacing w:lineRule="auto" w:line="240" w:before="120" w:after="0"/>
      <w:ind w:firstLine="288"/>
      <w:jc w:val="both"/>
      <w:outlineLvl w:val="0"/>
    </w:pPr>
    <w:rPr>
      <w:rFonts w:cs="Calibri"/>
      <w:sz w:val="28"/>
      <w:szCs w:val="28"/>
    </w:rPr>
  </w:style>
  <w:style w:type="paragraph" w:styleId="11131" w:customStyle="1">
    <w:name w:val="РГ_1.1.1_3"/>
    <w:basedOn w:val="Normal"/>
    <w:qFormat/>
    <w:pPr>
      <w:widowControl w:val="false"/>
      <w:tabs>
        <w:tab w:val="clear" w:pos="708"/>
        <w:tab w:val="left" w:pos="360" w:leader="none"/>
      </w:tabs>
      <w:spacing w:lineRule="auto" w:line="240" w:before="120" w:after="120"/>
      <w:ind w:firstLine="288"/>
      <w:jc w:val="both"/>
    </w:pPr>
    <w:rPr>
      <w:rFonts w:ascii="Times New Roman" w:hAnsi="Times New Roman"/>
      <w:sz w:val="28"/>
      <w:szCs w:val="28"/>
    </w:rPr>
  </w:style>
  <w:style w:type="paragraph" w:styleId="11114" w:customStyle="1">
    <w:name w:val="РГ_1.1.1.1._4"/>
    <w:basedOn w:val="11131"/>
    <w:qFormat/>
    <w:pPr>
      <w:ind w:left="3600" w:hanging="360"/>
    </w:pPr>
    <w:rPr/>
  </w:style>
  <w:style w:type="paragraph" w:styleId="51" w:customStyle="1">
    <w:name w:val="РГ_а)_5"/>
    <w:basedOn w:val="Normal"/>
    <w:qFormat/>
    <w:pPr>
      <w:tabs>
        <w:tab w:val="clear" w:pos="708"/>
        <w:tab w:val="left" w:pos="360" w:leader="none"/>
      </w:tabs>
      <w:spacing w:lineRule="auto" w:line="240" w:before="0" w:after="0"/>
      <w:ind w:firstLine="288"/>
      <w:jc w:val="both"/>
    </w:pPr>
    <w:rPr>
      <w:rFonts w:ascii="Times New Roman" w:hAnsi="Times New Roman"/>
      <w:sz w:val="28"/>
      <w:szCs w:val="28"/>
    </w:rPr>
  </w:style>
  <w:style w:type="paragraph" w:styleId="151" w:customStyle="1">
    <w:name w:val="РГ_1)___5"/>
    <w:basedOn w:val="11114"/>
    <w:qFormat/>
    <w:pPr>
      <w:ind w:left="4320" w:hanging="360"/>
    </w:pPr>
    <w:rPr/>
  </w:style>
  <w:style w:type="paragraph" w:styleId="Style35" w:customStyle="1">
    <w:name w:val="РГ_текст табл"/>
    <w:basedOn w:val="1121"/>
    <w:qFormat/>
    <w:pPr>
      <w:tabs>
        <w:tab w:val="clear" w:pos="360"/>
      </w:tabs>
      <w:spacing w:before="0" w:after="0"/>
      <w:ind w:left="34" w:hanging="0"/>
      <w:outlineLvl w:val="9"/>
    </w:pPr>
    <w:rPr>
      <w:rFonts w:eastAsia="Calibri"/>
      <w:sz w:val="24"/>
      <w:szCs w:val="24"/>
    </w:rPr>
  </w:style>
  <w:style w:type="paragraph" w:styleId="Style36" w:customStyle="1">
    <w:name w:val="РГ_номер текста табл"/>
    <w:basedOn w:val="ListParagraph"/>
    <w:qFormat/>
    <w:pPr>
      <w:numPr>
        <w:ilvl w:val="0"/>
        <w:numId w:val="19"/>
      </w:numPr>
      <w:spacing w:lineRule="auto" w:line="240" w:before="0" w:after="0"/>
      <w:contextualSpacing/>
      <w:jc w:val="both"/>
    </w:pPr>
    <w:rPr>
      <w:rFonts w:eastAsia="Calibri" w:cs="Calibri"/>
      <w:sz w:val="24"/>
    </w:rPr>
  </w:style>
  <w:style w:type="paragraph" w:styleId="115" w:customStyle="1">
    <w:name w:val="1.1. таблица"/>
    <w:basedOn w:val="Style36"/>
    <w:qFormat/>
    <w:pPr>
      <w:numPr>
        <w:ilvl w:val="0"/>
        <w:numId w:val="21"/>
      </w:numPr>
    </w:pPr>
    <w:rPr/>
  </w:style>
  <w:style w:type="paragraph" w:styleId="ConsPlusNonformat" w:customStyle="1">
    <w:name w:val="ConsPlusNonformat"/>
    <w:basedOn w:val="Normal"/>
    <w:qFormat/>
    <w:pPr>
      <w:spacing w:lineRule="auto" w:line="240" w:before="0" w:after="0"/>
    </w:pPr>
    <w:rPr>
      <w:rFonts w:ascii="Courier New" w:hAnsi="Courier New" w:eastAsia="Calibri" w:cs="Courier New"/>
      <w:sz w:val="20"/>
      <w:szCs w:val="20"/>
    </w:rPr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Dt-p" w:customStyle="1">
    <w:name w:val="dt-p"/>
    <w:basedOn w:val="Normal"/>
    <w:qFormat/>
    <w:rsid w:val="00f16054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Style3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notes" Target="footnotes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8D27-1F88-43A4-8EC5-F9E5D33F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AlterOffice/3.4.0.9$Linux_X86_64 LibreOffice_project/b8daf9e823b1a5463a2f48435ddc2e8696e7d4fc</Application>
  <AppVersion>15.0000</AppVersion>
  <Pages>20</Pages>
  <Words>4625</Words>
  <Characters>32082</Characters>
  <CharactersWithSpaces>37758</CharactersWithSpaces>
  <Paragraphs>593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2026-02-10T11:29:00Z</dcterms:created>
  <dc:creator>Торопов Денис Владимирович</dc:creator>
  <dc:description/>
  <dc:language>ru-RU</dc:language>
  <cp:lastModifiedBy/>
  <cp:lastPrinted>2026-01-20T08:07:00Z</cp:lastPrinted>
  <dcterms:modified xsi:type="dcterms:W3CDTF">2026-06-17T11:33:30Z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