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09"/>
        <w:gridCol w:w="4571"/>
      </w:tblGrid>
      <w:tr>
        <w:trPr>
          <w:trHeight w:val="2025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4571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/>
            </w:r>
          </w:p>
        </w:tc>
      </w:tr>
    </w:tbl>
    <w:p>
      <w:pPr>
        <w:pStyle w:val="14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>
      <w:pPr>
        <w:pStyle w:val="14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Нерегламентированной закупки по лоту № 74001-ТПИР ОТМ-2026-ЯЭ</w:t>
      </w:r>
    </w:p>
    <w:p>
      <w:pPr>
        <w:pStyle w:val="14"/>
        <w:numPr>
          <w:ilvl w:val="0"/>
          <w:numId w:val="0"/>
        </w:numPr>
        <w:spacing w:before="0" w:after="0"/>
        <w:ind w:left="567" w:hanging="567"/>
        <w:jc w:val="center"/>
        <w:outlineLvl w:val="9"/>
        <w:rPr/>
      </w:pPr>
      <w:r>
        <w:rPr>
          <w:rFonts w:ascii="Times New Roman" w:hAnsi="Times New Roman"/>
          <w:sz w:val="28"/>
          <w:szCs w:val="28"/>
        </w:rPr>
        <w:t>«ОКПД2 26.51.43.210 Поставка стационарного высоковольтного стенда для испытаний СИЗ  в рамках инвестиционного проект P_508-92528»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120" w:after="160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ПАО «Якутскэнерго»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№74001-ТПИР ОТМ-2026-ЯЭ «ОКПД2 26.51.43.210 Поставка стационарного высоковольтного стенда для испытаний СИЗ  в рамках инвестиционного проект P_508-92528».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120" w:after="160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120" w:after="160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120" w:after="160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120" w:after="160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sz w:val="24"/>
          <w:szCs w:val="24"/>
        </w:rPr>
        <w:t xml:space="preserve">Срок подачи технико-коммерческих предложений: до 10:00 (мск) </w:t>
      </w:r>
      <w:bookmarkStart w:id="0" w:name="_GoBack"/>
      <w:bookmarkEnd w:id="0"/>
      <w:r>
        <w:rPr>
          <w:sz w:val="24"/>
          <w:szCs w:val="24"/>
        </w:rPr>
        <w:t>15</w:t>
      </w:r>
      <w:r>
        <w:rPr>
          <w:sz w:val="24"/>
          <w:szCs w:val="24"/>
        </w:rPr>
        <w:t>.</w:t>
      </w:r>
      <w:r>
        <w:rPr>
          <w:sz w:val="24"/>
          <w:szCs w:val="24"/>
        </w:rPr>
        <w:t>07</w:t>
      </w:r>
      <w:r>
        <w:rPr>
          <w:sz w:val="24"/>
          <w:szCs w:val="24"/>
        </w:rPr>
        <w:t>.2026 г.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120" w:after="160"/>
        <w:ind w:left="567" w:hanging="567"/>
        <w:textAlignment w:val="auto"/>
        <w:rPr/>
      </w:pPr>
      <w:r>
        <w:rPr>
          <w:color w:val="000000"/>
          <w:sz w:val="24"/>
          <w:szCs w:val="24"/>
        </w:rPr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2">
        <w:r>
          <w:rPr/>
          <w:t>https://tender.lot-online.ru</w:t>
        </w:r>
      </w:hyperlink>
      <w:r>
        <w:rPr>
          <w:color w:val="000000"/>
          <w:sz w:val="24"/>
          <w:szCs w:val="24"/>
        </w:rPr>
        <w:t>.</w:t>
      </w:r>
    </w:p>
    <w:p>
      <w:pPr>
        <w:pStyle w:val="Normal"/>
        <w:spacing w:lineRule="auto" w:line="240" w:before="120" w:after="160"/>
        <w:rPr>
          <w:bCs/>
          <w:color w:val="C9211E"/>
          <w:sz w:val="24"/>
          <w:szCs w:val="24"/>
        </w:rPr>
      </w:pPr>
      <w:r>
        <w:rPr>
          <w:bCs/>
          <w:color w:val="C9211E"/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" w:leader="none"/>
        </w:tabs>
        <w:suppressAutoHyphens w:val="false"/>
        <w:spacing w:lineRule="auto" w:line="240" w:before="120" w:after="160"/>
        <w:ind w:left="850" w:hanging="493"/>
        <w:textAlignment w:val="auto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" w:leader="none"/>
        </w:tabs>
        <w:suppressAutoHyphens w:val="false"/>
        <w:spacing w:lineRule="auto" w:line="240" w:before="120" w:after="160"/>
        <w:ind w:left="850" w:hanging="493"/>
        <w:textAlignment w:val="auto"/>
        <w:rPr/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" w:leader="none"/>
        </w:tabs>
        <w:suppressAutoHyphens w:val="false"/>
        <w:spacing w:lineRule="auto" w:line="240" w:before="120" w:after="160"/>
        <w:ind w:left="850" w:hanging="493"/>
        <w:textAlignment w:val="auto"/>
        <w:rPr/>
      </w:pPr>
      <w:r>
        <w:rPr>
          <w:sz w:val="24"/>
          <w:szCs w:val="24"/>
        </w:rPr>
        <w:t>Форма коммерческого предложения.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1134" w:hanging="1134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1701" w:hanging="113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16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-7371" w:leader="none"/>
      </w:tabs>
      <w:spacing w:lineRule="auto" w:line="240" w:before="240" w:after="120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Style7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11" w:customStyle="1">
    <w:name w:val="Заголовок 1 Знак"/>
    <w:basedOn w:val="DefaultParagraphFont"/>
    <w:qFormat/>
    <w:rPr>
      <w:rFonts w:ascii="Calibri Light" w:hAnsi="Calibri Light" w:eastAsia="Times New Roman" w:cs="Times New Roman"/>
      <w:color w:val="2E74B5"/>
      <w:sz w:val="32"/>
      <w:szCs w:val="32"/>
      <w:lang w:eastAsia="ru-RU"/>
    </w:rPr>
  </w:style>
  <w:style w:type="character" w:styleId="WWCharLFO8LVL1" w:customStyle="1">
    <w:name w:val="WW_CharLFO8LVL1"/>
    <w:qFormat/>
    <w:rPr>
      <w:rFonts w:ascii="Times New Roman" w:hAnsi="Times New Roman" w:cs="Times New Roman"/>
    </w:rPr>
  </w:style>
  <w:style w:type="character" w:styleId="WWCharLFO8LVL2" w:customStyle="1">
    <w:name w:val="WW_CharLFO8LVL2"/>
    <w:qFormat/>
    <w:rPr>
      <w:rFonts w:ascii="Courier New" w:hAnsi="Courier New" w:cs="Courier New"/>
    </w:rPr>
  </w:style>
  <w:style w:type="character" w:styleId="WWCharLFO8LVL3" w:customStyle="1">
    <w:name w:val="WW_CharLFO8LVL3"/>
    <w:qFormat/>
    <w:rPr>
      <w:rFonts w:ascii="Wingdings" w:hAnsi="Wingdings"/>
    </w:rPr>
  </w:style>
  <w:style w:type="character" w:styleId="WWCharLFO8LVL4" w:customStyle="1">
    <w:name w:val="WW_CharLFO8LVL4"/>
    <w:qFormat/>
    <w:rPr>
      <w:rFonts w:ascii="Symbol" w:hAnsi="Symbol"/>
    </w:rPr>
  </w:style>
  <w:style w:type="character" w:styleId="WWCharLFO8LVL5" w:customStyle="1">
    <w:name w:val="WW_CharLFO8LVL5"/>
    <w:qFormat/>
    <w:rPr>
      <w:rFonts w:ascii="Courier New" w:hAnsi="Courier New" w:cs="Courier New"/>
    </w:rPr>
  </w:style>
  <w:style w:type="character" w:styleId="WWCharLFO8LVL6" w:customStyle="1">
    <w:name w:val="WW_CharLFO8LVL6"/>
    <w:qFormat/>
    <w:rPr>
      <w:rFonts w:ascii="Wingdings" w:hAnsi="Wingdings"/>
    </w:rPr>
  </w:style>
  <w:style w:type="character" w:styleId="WWCharLFO8LVL7" w:customStyle="1">
    <w:name w:val="WW_CharLFO8LVL7"/>
    <w:qFormat/>
    <w:rPr>
      <w:rFonts w:ascii="Symbol" w:hAnsi="Symbol"/>
    </w:rPr>
  </w:style>
  <w:style w:type="character" w:styleId="WWCharLFO8LVL8" w:customStyle="1">
    <w:name w:val="WW_CharLFO8LVL8"/>
    <w:qFormat/>
    <w:rPr>
      <w:rFonts w:ascii="Courier New" w:hAnsi="Courier New" w:cs="Courier New"/>
    </w:rPr>
  </w:style>
  <w:style w:type="character" w:styleId="WWCharLFO8LVL9" w:customStyle="1">
    <w:name w:val="WW_CharLFO8LVL9"/>
    <w:qFormat/>
    <w:rPr>
      <w:rFonts w:ascii="Wingdings" w:hAnsi="Wingdings"/>
    </w:rPr>
  </w:style>
  <w:style w:type="character" w:styleId="12" w:customStyle="1">
    <w:name w:val="Гиперссылка1"/>
    <w:qFormat/>
    <w:rPr>
      <w:color w:val="000080"/>
      <w:u w:val="single"/>
    </w:rPr>
  </w:style>
  <w:style w:type="character" w:styleId="13" w:customStyle="1">
    <w:name w:val="Знак концевой сноски1"/>
    <w:qFormat/>
    <w:rPr>
      <w:vertAlign w:val="superscript"/>
    </w:rPr>
  </w:style>
  <w:style w:type="character" w:styleId="Style9" w:customStyle="1">
    <w:name w:val="Символ концевой сноски"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1c39a4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Gothic" w:cs="Tahoma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</w:rPr>
  </w:style>
  <w:style w:type="paragraph" w:styleId="14" w:customStyle="1">
    <w:name w:val="Стиль Заголовок 1 + по ширине"/>
    <w:basedOn w:val="Heading1"/>
    <w:qFormat/>
    <w:pPr>
      <w:numPr>
        <w:ilvl w:val="0"/>
        <w:numId w:val="2"/>
      </w:numPr>
      <w:spacing w:lineRule="auto" w:line="240" w:before="480" w:after="240"/>
      <w:jc w:val="left"/>
    </w:pPr>
    <w:rPr>
      <w:rFonts w:ascii="Arial" w:hAnsi="Arial" w:eastAsia="Calibri"/>
      <w:b/>
      <w:bCs/>
      <w:color w:val="auto"/>
      <w:kern w:val="2"/>
      <w:sz w:val="40"/>
      <w:szCs w:val="20"/>
      <w:lang w:eastAsia="en-US"/>
    </w:rPr>
  </w:style>
  <w:style w:type="paragraph" w:styleId="Style1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15" w:customStyle="1">
    <w:name w:val="Обычная таблица1"/>
    <w:qFormat/>
    <w:pPr>
      <w:widowControl/>
      <w:suppressAutoHyphens w:val="true"/>
      <w:bidi w:val="0"/>
      <w:spacing w:lineRule="auto" w:line="240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1c39a4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4" w:customStyle="1">
    <w:name w:val="WW_OutlineListStyle_4"/>
    <w:qFormat/>
  </w:style>
  <w:style w:type="numbering" w:styleId="WWOutlineListStyle3" w:customStyle="1">
    <w:name w:val="WW_OutlineListStyle_3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numbering" w:styleId="LFO1" w:customStyle="1">
    <w:name w:val="LFO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AlterOffice/3.4.0.9$Linux_X86_64 LibreOffice_project/b8daf9e823b1a5463a2f48435ddc2e8696e7d4fc</Application>
  <AppVersion>15.0000</AppVersion>
  <Pages>2</Pages>
  <Words>485</Words>
  <Characters>3438</Characters>
  <CharactersWithSpaces>3878</CharactersWithSpaces>
  <Paragraphs>27</Paragraphs>
  <Company>Yakutskenergo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2025-01-21T04:51:00Z</dcterms:created>
  <dc:creator>Перевалова Татьяна Юрьевна</dc:creator>
  <dc:description/>
  <dc:language>ru-RU</dc:language>
  <cp:lastModifiedBy>vasilevga@Elektra.local</cp:lastModifiedBy>
  <cp:lastPrinted>2025-01-21T04:49:00Z</cp:lastPrinted>
  <dcterms:modified xsi:type="dcterms:W3CDTF">2026-07-07T16:28:48Z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