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«ОКПД2 31.09.11.190 Поставка передвижного металлического верстака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для нужд Жигулевского филиала»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51339692"/>
      <w:bookmarkStart w:id="1" w:name="_Toc162430460"/>
      <w:bookmarkStart w:id="2" w:name="_Toc157599445"/>
      <w:bookmarkStart w:id="3" w:name="_Toc75446566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162430461"/>
      <w:bookmarkStart w:id="5" w:name="_Toc157599446"/>
      <w:bookmarkStart w:id="6" w:name="_Toc75446568"/>
      <w:bookmarkStart w:id="7" w:name="_Toc46743506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</w:rPr>
        <w:t>ОКПД2 31.09.11.190 Поставка передвижного металлического верстака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157599447"/>
      <w:bookmarkStart w:id="9" w:name="_Toc162430462"/>
      <w:bookmarkStart w:id="10" w:name="_Toc75446569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2026г.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162430463"/>
      <w:bookmarkStart w:id="13" w:name="_Toc75446573"/>
      <w:bookmarkStart w:id="14" w:name="_Toc157599448"/>
      <w:bookmarkStart w:id="15" w:name="_Toc51339693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157599449"/>
      <w:bookmarkStart w:id="18" w:name="_Toc162430464"/>
      <w:bookmarkStart w:id="19" w:name="_Toc75446574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157599450"/>
      <w:bookmarkStart w:id="21" w:name="_Toc162430465"/>
      <w:bookmarkStart w:id="22" w:name="_Toc75446575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174"/>
        <w:gridCol w:w="2651"/>
        <w:gridCol w:w="1792"/>
      </w:tblGrid>
      <w:tr>
        <w:trPr>
          <w:trHeight w:val="2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lang w:eastAsia="x-none"/>
              </w:rPr>
              <w:t>Передвижной металлический верстак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4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162430466"/>
      <w:bookmarkStart w:id="24" w:name="_Toc75446578"/>
      <w:bookmarkStart w:id="25" w:name="_Toc157599451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0125127"/>
      <w:bookmarkStart w:id="29" w:name="_Toc5133969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по перечню п 2.1.1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«ОКПД2 31.09.11.190 Поставка передвижного металлического верстака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Передвижной металлический верстак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Rockforce RF-01Y0109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 рабочего стола (ДхШхВ), 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2150х485х950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Экран с перфорацией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Габаритный размер перфорации, (ВхД) 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530х2150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перфорации,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 19х10 с шагом 38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столешницы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Покрытие столешницы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лак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 столешницы (ДхШхВ), 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2150х505х38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высота верстака, 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Тумба с дверью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тумбы с дверью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Тумба с ящиками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ящиков в тумбе, шт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замок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колес (2 фиксированных и 2 поворотных с функцией ножного торомоза (фиксатора))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Ощий вес верстака, кг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1.17.1.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Верстак, шт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1.17.2.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Пластиковый лоток, шт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Крючок, шт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1.17.4.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Колесо, шт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12 (двенадцати)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7952485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7440960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AlterOffice/3.4.0.9$Linux_X86_64 LibreOffice_project/b8daf9e823b1a5463a2f48435ddc2e8696e7d4fc</Application>
  <AppVersion>15.0000</AppVersion>
  <Pages>4</Pages>
  <Words>587</Words>
  <Characters>3912</Characters>
  <CharactersWithSpaces>4360</CharactersWithSpaces>
  <Paragraphs>153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2025-07-08T09:02:34Z</cp:lastPrinted>
  <dcterms:modified xsi:type="dcterms:W3CDTF">2026-07-08T14:35:02Z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