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28.15.39  Поставка отводного ролика для проворота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</w:rPr>
        <w:t>ОКПД2 28.15.39 Поставка  отводного ролика для проворота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157599447"/>
      <w:bookmarkStart w:id="9" w:name="_Toc162430462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51339693"/>
      <w:bookmarkStart w:id="13" w:name="_Toc75446573"/>
      <w:bookmarkStart w:id="14" w:name="_Toc162430463"/>
      <w:bookmarkStart w:id="15" w:name="_Toc157599448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8"/>
        <w:gridCol w:w="5175"/>
        <w:gridCol w:w="2651"/>
        <w:gridCol w:w="1792"/>
      </w:tblGrid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lang w:eastAsia="x-none"/>
              </w:rPr>
              <w:t>Отводной ролик для проворота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62430466"/>
      <w:bookmarkStart w:id="24" w:name="_Toc157599451"/>
      <w:bookmarkStart w:id="25" w:name="_Toc75446578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0125127"/>
      <w:bookmarkStart w:id="29" w:name="_Toc5133969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2.1.1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28.15.39 Поставка отводного ролика для проворота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Отводной ролик для проворота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согласно эскиза (Приложение №1)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C2126"/>
                <w:spacing w:val="0"/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12 (двенадцати)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jc w:val="right"/>
        <w:rPr>
          <w:rFonts w:eastAsia="Calibri"/>
          <w:lang w:eastAsia="x-none"/>
        </w:rPr>
      </w:pPr>
      <w:r>
        <w:rPr/>
        <w:tab/>
        <w:tab/>
        <w:tab/>
        <w:tab/>
        <w:tab/>
        <w:tab/>
        <w:tab/>
        <w:tab/>
        <w:tab/>
        <w:tab/>
        <w:tab/>
        <w:t xml:space="preserve">Приложение №1 к ТТ  </w:t>
      </w:r>
      <w:r>
        <w:rPr>
          <w:rFonts w:eastAsia="Calibri"/>
        </w:rPr>
        <w:t xml:space="preserve">ОКПД2 28.15.39 Поставка отводного ролика для </w:t>
      </w:r>
    </w:p>
    <w:p>
      <w:pPr>
        <w:pStyle w:val="Normal"/>
        <w:spacing w:before="0" w:after="0"/>
        <w:contextualSpacing/>
        <w:jc w:val="right"/>
        <w:rPr>
          <w:rFonts w:eastAsia="Calibri"/>
          <w:lang w:eastAsia="x-none"/>
        </w:rPr>
      </w:pPr>
      <w:r>
        <w:rPr>
          <w:rFonts w:eastAsia="Calibri"/>
        </w:rPr>
        <w:t>проворота для нужд Жигулевского филиала</w:t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61760" cy="58039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4"/>
      <w:footerReference w:type="first" r:id="rId5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6423064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275953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Application>AlterOffice/3.4.0.9$Linux_X86_64 LibreOffice_project/b8daf9e823b1a5463a2f48435ddc2e8696e7d4fc</Application>
  <AppVersion>15.0000</AppVersion>
  <Pages>4</Pages>
  <Words>487</Words>
  <Characters>3301</Characters>
  <CharactersWithSpaces>3721</CharactersWithSpaces>
  <Paragraphs>95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2026-07-08T15:14:39Z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