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28" w:rsidRDefault="00391228">
      <w:pPr>
        <w:keepNext/>
        <w:keepLines/>
        <w:jc w:val="right"/>
        <w:rPr>
          <w:b/>
          <w:bCs/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391228">
      <w:pPr>
        <w:keepNext/>
        <w:keepLines/>
        <w:rPr>
          <w:sz w:val="26"/>
          <w:szCs w:val="26"/>
        </w:rPr>
      </w:pPr>
    </w:p>
    <w:p w:rsidR="00391228" w:rsidRDefault="004442BC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391228" w:rsidRDefault="004442BC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на ОКПД2 23.63.10.000</w:t>
      </w:r>
      <w:r w:rsidRPr="004442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Поставка бетонной смеси </w:t>
      </w:r>
      <w:r>
        <w:rPr>
          <w:sz w:val="24"/>
          <w:szCs w:val="24"/>
        </w:rPr>
        <w:t>для нужд Дагестанского филиала АО «Гидроремонт-ВКК» в г. Махачкала</w:t>
      </w:r>
    </w:p>
    <w:p w:rsidR="00391228" w:rsidRPr="004442BC" w:rsidRDefault="004442BC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Лот №</w:t>
      </w:r>
    </w:p>
    <w:p w:rsidR="00391228" w:rsidRDefault="00391228">
      <w:pPr>
        <w:widowControl w:val="0"/>
        <w:tabs>
          <w:tab w:val="left" w:pos="426"/>
        </w:tabs>
        <w:spacing w:before="120" w:after="120"/>
        <w:jc w:val="center"/>
        <w:rPr>
          <w:i/>
        </w:rPr>
      </w:pPr>
    </w:p>
    <w:p w:rsidR="00391228" w:rsidRDefault="00391228">
      <w:pPr>
        <w:keepNext/>
        <w:keepLines/>
        <w:jc w:val="both"/>
        <w:rPr>
          <w:sz w:val="26"/>
          <w:szCs w:val="26"/>
        </w:rPr>
      </w:pPr>
    </w:p>
    <w:p w:rsidR="00391228" w:rsidRDefault="004442BC">
      <w:pPr>
        <w:rPr>
          <w:sz w:val="26"/>
          <w:szCs w:val="26"/>
        </w:rPr>
      </w:pPr>
      <w:r>
        <w:br w:type="page"/>
      </w:r>
    </w:p>
    <w:p w:rsidR="00391228" w:rsidRDefault="004442BC">
      <w:pPr>
        <w:pStyle w:val="4"/>
        <w:tabs>
          <w:tab w:val="clear" w:pos="0"/>
        </w:tabs>
        <w:ind w:firstLine="0"/>
        <w:jc w:val="center"/>
        <w:rPr>
          <w:lang w:val="en-US"/>
        </w:rPr>
      </w:pPr>
      <w:r>
        <w:rPr>
          <w:lang w:val="en-US"/>
        </w:rPr>
        <w:lastRenderedPageBreak/>
        <w:t>1. Общие сведения</w:t>
      </w:r>
    </w:p>
    <w:p w:rsidR="00391228" w:rsidRDefault="004442BC">
      <w:pPr>
        <w:pStyle w:val="4"/>
        <w:numPr>
          <w:ilvl w:val="2"/>
          <w:numId w:val="3"/>
        </w:numPr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391228" w:rsidRDefault="004442BC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sz w:val="24"/>
          <w:szCs w:val="24"/>
        </w:rPr>
        <w:t>ОКПД2 23.63.10.000</w:t>
      </w:r>
      <w:r w:rsidRPr="004442BC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Поставка бетонной смеси для нужд Дагестанского филиала АО «Гидроремонт-ВКК» в г. Махачкала</w:t>
      </w:r>
      <w:r>
        <w:rPr>
          <w:sz w:val="24"/>
          <w:szCs w:val="24"/>
        </w:rPr>
        <w:t>.</w:t>
      </w:r>
    </w:p>
    <w:p w:rsidR="00391228" w:rsidRDefault="004442BC">
      <w:pPr>
        <w:pStyle w:val="4"/>
        <w:numPr>
          <w:ilvl w:val="2"/>
          <w:numId w:val="3"/>
        </w:numPr>
      </w:pPr>
      <w:bookmarkStart w:id="2" w:name="_Toc46743507"/>
      <w:bookmarkStart w:id="3" w:name="_Toc75446569"/>
      <w:r>
        <w:t xml:space="preserve">Цель </w:t>
      </w:r>
      <w:bookmarkEnd w:id="2"/>
      <w:r>
        <w:t xml:space="preserve">использования закупаемой продукции </w:t>
      </w:r>
      <w:bookmarkEnd w:id="3"/>
      <w:r>
        <w:t xml:space="preserve"> </w:t>
      </w:r>
    </w:p>
    <w:p w:rsidR="00391228" w:rsidRDefault="004442BC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</w:pPr>
      <w:r>
        <w:rPr>
          <w:rFonts w:eastAsia="Calibri"/>
          <w:sz w:val="24"/>
          <w:szCs w:val="24"/>
          <w:lang w:eastAsia="x-none"/>
        </w:rPr>
        <w:t>Исполнения д</w:t>
      </w:r>
      <w:r>
        <w:rPr>
          <w:sz w:val="24"/>
          <w:szCs w:val="24"/>
          <w:lang w:eastAsia="x-none"/>
        </w:rPr>
        <w:t>оговора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4-РЕМ-2026-ДФ </w:t>
      </w:r>
      <w:r>
        <w:rPr>
          <w:rFonts w:eastAsia="Calibri"/>
          <w:sz w:val="24"/>
          <w:szCs w:val="24"/>
          <w:lang w:eastAsia="en-US"/>
        </w:rPr>
        <w:t>«Текущий ремонт ГТС Чиркейской ГЭС, Миатлинской ГЭС и Чирюртской ГЭС-1</w:t>
      </w:r>
      <w:r>
        <w:rPr>
          <w:color w:val="2C2D2E"/>
          <w:sz w:val="24"/>
          <w:szCs w:val="24"/>
        </w:rPr>
        <w:t>»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заключенного между ПАО «РусГидро» и АО «Гидроремонт-ВКК»</w:t>
      </w:r>
      <w:r>
        <w:rPr>
          <w:sz w:val="24"/>
          <w:szCs w:val="24"/>
        </w:rPr>
        <w:t>.</w:t>
      </w:r>
    </w:p>
    <w:p w:rsidR="00391228" w:rsidRDefault="004442BC">
      <w:pPr>
        <w:pStyle w:val="1"/>
        <w:numPr>
          <w:ilvl w:val="0"/>
          <w:numId w:val="3"/>
        </w:numPr>
        <w:rPr>
          <w:caps/>
          <w:sz w:val="24"/>
          <w:szCs w:val="24"/>
          <w:lang w:val="ru-RU"/>
        </w:rPr>
      </w:pPr>
      <w:bookmarkStart w:id="4" w:name="_Toc75446573"/>
      <w:bookmarkStart w:id="5" w:name="_Toc51339693"/>
      <w:bookmarkStart w:id="6" w:name="_GoBack"/>
      <w:bookmarkEnd w:id="6"/>
      <w:r>
        <w:rPr>
          <w:sz w:val="24"/>
          <w:szCs w:val="24"/>
        </w:rPr>
        <w:t>Требования к продукции</w:t>
      </w:r>
      <w:bookmarkEnd w:id="4"/>
      <w:bookmarkEnd w:id="5"/>
    </w:p>
    <w:p w:rsidR="00391228" w:rsidRDefault="004442BC">
      <w:pPr>
        <w:pStyle w:val="4"/>
        <w:numPr>
          <w:ilvl w:val="1"/>
          <w:numId w:val="8"/>
        </w:numPr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391228" w:rsidRDefault="004442BC">
      <w:pPr>
        <w:pStyle w:val="32"/>
        <w:numPr>
          <w:ilvl w:val="2"/>
          <w:numId w:val="3"/>
        </w:numPr>
      </w:pPr>
      <w:bookmarkStart w:id="8" w:name="_Toc75446575"/>
      <w:r>
        <w:t>Перечень и объем закупаемой продукции</w:t>
      </w:r>
      <w:bookmarkEnd w:id="8"/>
    </w:p>
    <w:p w:rsidR="00391228" w:rsidRDefault="004442BC">
      <w:pPr>
        <w:pStyle w:val="32"/>
        <w:tabs>
          <w:tab w:val="clear" w:pos="0"/>
        </w:tabs>
        <w:ind w:left="720" w:firstLine="0"/>
      </w:pPr>
      <w:bookmarkStart w:id="9" w:name="_Toc51339695"/>
      <w:bookmarkStart w:id="10" w:name="_Toc75446576"/>
      <w:r>
        <w:t xml:space="preserve">Таблица 1.1 Перечень </w:t>
      </w:r>
      <w:bookmarkEnd w:id="9"/>
      <w:r>
        <w:t>и объем закупаемой продукции</w:t>
      </w:r>
      <w:bookmarkEnd w:id="10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"/>
        <w:gridCol w:w="3160"/>
        <w:gridCol w:w="2560"/>
        <w:gridCol w:w="1556"/>
        <w:gridCol w:w="1704"/>
      </w:tblGrid>
      <w:tr w:rsidR="00391228">
        <w:trPr>
          <w:trHeight w:val="313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серия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91228">
        <w:trPr>
          <w:trHeight w:val="373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3912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3912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3912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3912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3912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91228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1228">
        <w:trPr>
          <w:trHeight w:val="477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Бетонная смесь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В15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м3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24</w:t>
            </w:r>
          </w:p>
        </w:tc>
      </w:tr>
      <w:tr w:rsidR="00391228">
        <w:trPr>
          <w:trHeight w:val="477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Бетонная смесь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В15 (крупность заполнителя 10 мм)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м3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46</w:t>
            </w:r>
          </w:p>
        </w:tc>
      </w:tr>
      <w:tr w:rsidR="00391228">
        <w:trPr>
          <w:trHeight w:val="477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Бетонная смесь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В20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м3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104</w:t>
            </w:r>
          </w:p>
        </w:tc>
      </w:tr>
    </w:tbl>
    <w:p w:rsidR="00391228" w:rsidRDefault="00391228">
      <w:pPr>
        <w:rPr>
          <w:sz w:val="24"/>
          <w:szCs w:val="24"/>
          <w:lang w:eastAsia="x-none"/>
        </w:rPr>
      </w:pPr>
    </w:p>
    <w:p w:rsidR="00391228" w:rsidRDefault="004442BC">
      <w:pPr>
        <w:pStyle w:val="32"/>
        <w:numPr>
          <w:ilvl w:val="2"/>
          <w:numId w:val="3"/>
        </w:numPr>
      </w:pPr>
      <w:bookmarkStart w:id="11" w:name="_Toc51339696"/>
      <w:bookmarkStart w:id="12" w:name="_Toc75446578"/>
      <w:r>
        <w:t xml:space="preserve">Требования </w:t>
      </w:r>
      <w:bookmarkEnd w:id="11"/>
      <w:r>
        <w:t xml:space="preserve">к срокам поставки продукции </w:t>
      </w:r>
      <w:bookmarkEnd w:id="12"/>
    </w:p>
    <w:p w:rsidR="00391228" w:rsidRDefault="004442BC">
      <w:pPr>
        <w:pStyle w:val="32"/>
        <w:tabs>
          <w:tab w:val="clear" w:pos="0"/>
        </w:tabs>
        <w:ind w:left="720" w:firstLine="0"/>
        <w:rPr>
          <w:lang w:val="ru-RU"/>
        </w:rPr>
      </w:pPr>
      <w:bookmarkStart w:id="13" w:name="_Toc50125126"/>
      <w:bookmarkStart w:id="14" w:name="_Toc50125127"/>
      <w:bookmarkStart w:id="15" w:name="_Toc51339697"/>
      <w:bookmarkStart w:id="16" w:name="_Toc75446579"/>
      <w:bookmarkEnd w:id="13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17" w:name="_Hlk50465284"/>
      <w:r>
        <w:t xml:space="preserve">Требования по срокам </w:t>
      </w:r>
      <w:bookmarkEnd w:id="14"/>
      <w:bookmarkEnd w:id="15"/>
      <w:bookmarkEnd w:id="17"/>
      <w:r>
        <w:rPr>
          <w:lang w:val="ru-RU"/>
        </w:rPr>
        <w:t>поставки продукции</w:t>
      </w:r>
      <w:bookmarkEnd w:id="16"/>
    </w:p>
    <w:tbl>
      <w:tblPr>
        <w:tblW w:w="99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2979"/>
        <w:gridCol w:w="3258"/>
      </w:tblGrid>
      <w:tr w:rsidR="0039122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9122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28" w:rsidRDefault="004442B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28" w:rsidRDefault="004442B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8" w:name="_Toc46743510"/>
            <w:r>
              <w:rPr>
                <w:b/>
                <w:sz w:val="24"/>
                <w:szCs w:val="24"/>
              </w:rPr>
              <w:t>4</w:t>
            </w:r>
            <w:bookmarkEnd w:id="18"/>
          </w:p>
        </w:tc>
      </w:tr>
      <w:tr w:rsidR="0039122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228" w:rsidRDefault="00391228">
            <w:pPr>
              <w:pStyle w:val="aff0"/>
              <w:widowControl w:val="0"/>
              <w:numPr>
                <w:ilvl w:val="0"/>
                <w:numId w:val="7"/>
              </w:numPr>
              <w:ind w:hanging="331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228" w:rsidRDefault="004442B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Перечень материала </w:t>
            </w:r>
            <w:r>
              <w:rPr>
                <w:sz w:val="24"/>
                <w:szCs w:val="24"/>
                <w:lang w:val="en-US"/>
              </w:rPr>
              <w:t>согласно таблицы 1.1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228" w:rsidRDefault="004442B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</w:tbl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391228">
      <w:pPr>
        <w:rPr>
          <w:sz w:val="24"/>
          <w:szCs w:val="24"/>
          <w:lang w:val="x-none" w:eastAsia="x-none"/>
        </w:rPr>
      </w:pPr>
    </w:p>
    <w:p w:rsidR="00391228" w:rsidRDefault="004442BC">
      <w:pPr>
        <w:pStyle w:val="32"/>
        <w:numPr>
          <w:ilvl w:val="1"/>
          <w:numId w:val="8"/>
        </w:numPr>
      </w:pPr>
      <w:bookmarkStart w:id="19" w:name="_Toc46743511"/>
      <w:bookmarkStart w:id="20" w:name="_Toc75446581"/>
      <w:bookmarkStart w:id="21" w:name="_Toc51339698"/>
      <w:r>
        <w:lastRenderedPageBreak/>
        <w:t xml:space="preserve">Требования к </w:t>
      </w:r>
      <w:bookmarkEnd w:id="19"/>
      <w:r>
        <w:t>качеству продукции</w:t>
      </w:r>
      <w:bookmarkEnd w:id="20"/>
      <w:bookmarkEnd w:id="21"/>
    </w:p>
    <w:p w:rsidR="00391228" w:rsidRDefault="004442BC">
      <w:pPr>
        <w:rPr>
          <w:b/>
          <w:sz w:val="24"/>
          <w:szCs w:val="24"/>
          <w:lang w:val="x-none" w:eastAsia="x-none"/>
        </w:rPr>
      </w:pPr>
      <w:r>
        <w:rPr>
          <w:b/>
          <w:sz w:val="24"/>
          <w:szCs w:val="24"/>
          <w:lang w:val="x-none" w:eastAsia="x-none"/>
        </w:rPr>
        <w:t>Таблица 3. Требования к качеству продукции</w:t>
      </w:r>
    </w:p>
    <w:p w:rsidR="00391228" w:rsidRDefault="004442BC">
      <w:pPr>
        <w:jc w:val="both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(позиции № 1-3</w:t>
      </w:r>
      <w:r>
        <w:rPr>
          <w:b/>
          <w:bCs/>
          <w:iCs/>
          <w:sz w:val="24"/>
          <w:szCs w:val="24"/>
        </w:rPr>
        <w:t xml:space="preserve"> Таблицы 1.1): </w:t>
      </w:r>
      <w:r w:rsidRPr="004442BC">
        <w:rPr>
          <w:bCs/>
          <w:i/>
          <w:iCs/>
          <w:sz w:val="24"/>
          <w:szCs w:val="24"/>
        </w:rPr>
        <w:t>ОКПД2 23.63.10.000 Поставка бетонной смеси для нужд Дагестанского филиала АО «Гидроремонт-ВКК» в г. Махачкала</w:t>
      </w:r>
    </w:p>
    <w:p w:rsidR="00391228" w:rsidRDefault="00391228">
      <w:pPr>
        <w:jc w:val="both"/>
        <w:rPr>
          <w:rStyle w:val="aff1"/>
          <w:b w:val="0"/>
          <w:bCs/>
          <w:i w:val="0"/>
          <w:iCs/>
          <w:sz w:val="24"/>
          <w:szCs w:val="24"/>
          <w:shd w:val="clear" w:color="auto" w:fill="auto"/>
        </w:rPr>
      </w:pPr>
    </w:p>
    <w:tbl>
      <w:tblPr>
        <w:tblStyle w:val="affff7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41"/>
        <w:gridCol w:w="4683"/>
        <w:gridCol w:w="4387"/>
      </w:tblGrid>
      <w:tr w:rsidR="00391228">
        <w:trPr>
          <w:trHeight w:val="322"/>
        </w:trPr>
        <w:tc>
          <w:tcPr>
            <w:tcW w:w="841" w:type="dxa"/>
            <w:vMerge w:val="restart"/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88" w:type="dxa"/>
            <w:vMerge w:val="restart"/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2" w:type="dxa"/>
            <w:vMerge w:val="restart"/>
            <w:vAlign w:val="center"/>
          </w:tcPr>
          <w:p w:rsidR="00391228" w:rsidRDefault="004442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391228">
        <w:trPr>
          <w:trHeight w:val="322"/>
        </w:trPr>
        <w:tc>
          <w:tcPr>
            <w:tcW w:w="841" w:type="dxa"/>
            <w:vMerge/>
            <w:vAlign w:val="center"/>
          </w:tcPr>
          <w:p w:rsidR="00391228" w:rsidRDefault="00391228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8" w:type="dxa"/>
            <w:vMerge/>
            <w:vAlign w:val="center"/>
          </w:tcPr>
          <w:p w:rsidR="00391228" w:rsidRDefault="00391228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2" w:type="dxa"/>
            <w:vMerge/>
            <w:vAlign w:val="center"/>
          </w:tcPr>
          <w:p w:rsidR="00391228" w:rsidRDefault="0039122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91228">
        <w:tc>
          <w:tcPr>
            <w:tcW w:w="841" w:type="dxa"/>
            <w:vAlign w:val="center"/>
          </w:tcPr>
          <w:p w:rsidR="00391228" w:rsidRDefault="004442BC" w:rsidP="004442BC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  <w:vAlign w:val="center"/>
          </w:tcPr>
          <w:p w:rsidR="00391228" w:rsidRDefault="004442BC" w:rsidP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391228" w:rsidRDefault="004442BC" w:rsidP="004442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vAlign w:val="center"/>
          </w:tcPr>
          <w:p w:rsidR="00391228" w:rsidRDefault="004442B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техническим и функциональным характеристикам (включая </w:t>
            </w:r>
            <w:r>
              <w:rPr>
                <w:b/>
                <w:bCs/>
                <w:sz w:val="24"/>
                <w:szCs w:val="24"/>
              </w:rPr>
              <w:t>гарантируемые показатели)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Бетонная смесь </w:t>
            </w:r>
            <w:r>
              <w:rPr>
                <w:b/>
                <w:bCs/>
                <w:iCs/>
                <w:sz w:val="24"/>
                <w:szCs w:val="24"/>
              </w:rPr>
              <w:t>В15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1.1.1</w:t>
            </w:r>
          </w:p>
        </w:tc>
        <w:tc>
          <w:tcPr>
            <w:tcW w:w="468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</w:t>
            </w:r>
          </w:p>
        </w:tc>
        <w:tc>
          <w:tcPr>
            <w:tcW w:w="439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19.26 </w:t>
            </w:r>
            <w:r>
              <w:rPr>
                <w:sz w:val="24"/>
                <w:szCs w:val="24"/>
              </w:rPr>
              <w:t>МПа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68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Водонепроницаемость </w:t>
            </w:r>
          </w:p>
        </w:tc>
        <w:tc>
          <w:tcPr>
            <w:tcW w:w="439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W4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Морозостойкость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F75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0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Бетонная смесь </w:t>
            </w:r>
            <w:r>
              <w:rPr>
                <w:b/>
                <w:bCs/>
                <w:iCs/>
                <w:sz w:val="24"/>
                <w:szCs w:val="24"/>
              </w:rPr>
              <w:t>В15 (крупность заполнителя 10 мм)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19.26 </w:t>
            </w:r>
            <w:r>
              <w:rPr>
                <w:sz w:val="24"/>
                <w:szCs w:val="24"/>
              </w:rPr>
              <w:t>МПа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Водонепроницаемость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W4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2.1.3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Морозостойкость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F1(100)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2.1.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</w:pPr>
            <w:r>
              <w:rPr>
                <w:sz w:val="24"/>
                <w:szCs w:val="24"/>
                <w:lang w:val="en-US"/>
              </w:rPr>
              <w:t xml:space="preserve">Крупность заполнителя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 мм 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80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Бетонная смесь </w:t>
            </w:r>
            <w:r>
              <w:rPr>
                <w:b/>
                <w:bCs/>
                <w:iCs/>
                <w:sz w:val="24"/>
                <w:szCs w:val="24"/>
              </w:rPr>
              <w:t>В20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19.26 </w:t>
            </w:r>
            <w:r>
              <w:rPr>
                <w:sz w:val="24"/>
                <w:szCs w:val="24"/>
              </w:rPr>
              <w:t>МПа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Водонепроницаемость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W4</w:t>
            </w:r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4442BC">
            <w:pPr>
              <w:widowControl w:val="0"/>
              <w:spacing w:before="60"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3.1.3</w:t>
            </w:r>
          </w:p>
        </w:tc>
        <w:tc>
          <w:tcPr>
            <w:tcW w:w="468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Морозостойкость </w:t>
            </w:r>
          </w:p>
        </w:tc>
        <w:tc>
          <w:tcPr>
            <w:tcW w:w="439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228" w:rsidRDefault="004442B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F75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vAlign w:val="center"/>
          </w:tcPr>
          <w:p w:rsidR="00391228" w:rsidRDefault="004442B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</w:t>
            </w:r>
            <w:r>
              <w:rPr>
                <w:b/>
                <w:bCs/>
                <w:sz w:val="24"/>
                <w:szCs w:val="24"/>
              </w:rPr>
              <w:t>хранения, приемке и испытаниям.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4688" w:type="dxa"/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392" w:type="dxa"/>
            <w:shd w:val="clear" w:color="auto" w:fill="FFFFFF"/>
          </w:tcPr>
          <w:p w:rsidR="00391228" w:rsidRDefault="004442BC" w:rsidP="004442BC">
            <w:pPr>
              <w:widowControl w:val="0"/>
              <w:jc w:val="both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Продукция должна быть доставлена Поставщиком по адресу: Республика Дагестан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</w:tcPr>
          <w:p w:rsidR="00391228" w:rsidRDefault="004442BC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9080" w:type="dxa"/>
            <w:gridSpan w:val="2"/>
          </w:tcPr>
          <w:p w:rsidR="00391228" w:rsidRDefault="004442B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Гарантийный срок 15 (пятнадцать) лет с даты подписания </w:t>
            </w:r>
            <w:r>
              <w:rPr>
                <w:bCs/>
                <w:sz w:val="24"/>
                <w:szCs w:val="24"/>
              </w:rPr>
              <w:t>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</w:t>
            </w:r>
            <w:r>
              <w:rPr>
                <w:b/>
                <w:bCs/>
                <w:sz w:val="24"/>
                <w:szCs w:val="24"/>
              </w:rPr>
              <w:t>й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shd w:val="clear" w:color="auto" w:fill="FFFFFF"/>
              <w:tabs>
                <w:tab w:val="left" w:pos="1134"/>
                <w:tab w:val="left" w:pos="1276"/>
              </w:tabs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 w:rsidR="00391228" w:rsidRDefault="004442B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1287"/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spacing w:after="12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качества в 1 экз.;</w:t>
            </w:r>
          </w:p>
          <w:p w:rsidR="00391228" w:rsidRDefault="004442B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1287"/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spacing w:after="12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места происхождения товара;</w:t>
            </w:r>
          </w:p>
          <w:p w:rsidR="00391228" w:rsidRDefault="004442B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1287"/>
                <w:tab w:val="left" w:pos="851"/>
                <w:tab w:val="left" w:pos="900"/>
                <w:tab w:val="left" w:pos="1134"/>
                <w:tab w:val="left" w:pos="1276"/>
              </w:tabs>
              <w:suppressAutoHyphens w:val="0"/>
              <w:spacing w:after="12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первичные документы:</w:t>
            </w:r>
          </w:p>
          <w:p w:rsidR="00391228" w:rsidRDefault="004442B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  <w:tab w:val="left" w:pos="1134"/>
                <w:tab w:val="left" w:pos="1276"/>
              </w:tabs>
              <w:suppressAutoHyphens w:val="0"/>
              <w:spacing w:after="12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2 экз. или Транспортную накладную ((для учета товарно-материальных ценностей и расчетов за их п</w:t>
            </w:r>
            <w:r>
              <w:rPr>
                <w:sz w:val="24"/>
                <w:szCs w:val="24"/>
              </w:rPr>
              <w:t xml:space="preserve">еревозки) по форме согласно Приложению 4 к </w:t>
            </w:r>
            <w:r>
              <w:rPr>
                <w:sz w:val="24"/>
                <w:szCs w:val="24"/>
              </w:rPr>
              <w:lastRenderedPageBreak/>
              <w:t>Правилам перевозки грузов автомобильным транспортом (в ред. Постановлений Правительства РФ от 30.12.2011 №1208, от 03.12.2015 №1311, от 12.12.2017 №1529);</w:t>
            </w:r>
          </w:p>
          <w:p w:rsidR="00391228" w:rsidRDefault="004442B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  <w:tab w:val="left" w:pos="1134"/>
                <w:tab w:val="left" w:pos="1276"/>
              </w:tabs>
              <w:suppressAutoHyphens w:val="0"/>
              <w:spacing w:after="120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по форме ТОРГ-12 или Универсальный пере</w:t>
            </w:r>
            <w:r>
              <w:rPr>
                <w:sz w:val="24"/>
                <w:szCs w:val="24"/>
              </w:rPr>
              <w:t>даточный документ (УПД) в 2 экз.</w:t>
            </w:r>
          </w:p>
          <w:p w:rsidR="00391228" w:rsidRDefault="004442BC">
            <w:pPr>
              <w:widowControl w:val="0"/>
              <w:tabs>
                <w:tab w:val="left" w:pos="-63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Счет фактура – 1 экз.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tabs>
                <w:tab w:val="left" w:pos="-63"/>
                <w:tab w:val="left" w:pos="993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о качестве бетонной смеси предоставляются поставщиком при поставке бетонной смеси. Паспорта качества и протокола испытаний контрольных образцов бетона предоставляются через 7 и 28 дней </w:t>
            </w:r>
            <w:r>
              <w:rPr>
                <w:sz w:val="24"/>
                <w:szCs w:val="24"/>
              </w:rPr>
              <w:t>после поставки бетонной смеси.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  <w:p w:rsidR="00391228" w:rsidRDefault="00391228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требованиям указанных стандартов, технических условий.</w:t>
            </w:r>
          </w:p>
          <w:p w:rsidR="00391228" w:rsidRDefault="004442BC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соответствовать </w:t>
            </w:r>
            <w:r>
              <w:rPr>
                <w:sz w:val="24"/>
                <w:szCs w:val="24"/>
              </w:rPr>
              <w:t>обязательным требованиям, установленным нормативными документами, действующими в РФ.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поставляться согласно СП435.1325800.2018 «Свод правил. Конструкции бетонные и </w:t>
            </w:r>
            <w:r>
              <w:rPr>
                <w:bCs/>
                <w:sz w:val="24"/>
                <w:szCs w:val="24"/>
              </w:rPr>
              <w:t>железобетонные монолитные. Правила производства и приемка работ». Пункт 6.2 «Транспортирование и подача бетонной смеси».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доставку Продукции до склада покупателя, погрузку и разгрузку, и иные расходы, связанные с исполнением обязательств по Дог</w:t>
            </w:r>
            <w:r>
              <w:rPr>
                <w:bCs/>
                <w:sz w:val="24"/>
                <w:szCs w:val="24"/>
              </w:rPr>
              <w:t>овору должны быть включены в стоимость предложения.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tabs>
                <w:tab w:val="left" w:pos="0"/>
              </w:tabs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  <w:tr w:rsidR="00391228">
        <w:tc>
          <w:tcPr>
            <w:tcW w:w="841" w:type="dxa"/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bookmarkStart w:id="22" w:name="_GoBack_Копия_1"/>
            <w:r>
              <w:rPr>
                <w:bCs/>
                <w:sz w:val="24"/>
                <w:szCs w:val="24"/>
              </w:rPr>
              <w:t xml:space="preserve">Приемка продукции </w:t>
            </w:r>
            <w:r>
              <w:rPr>
                <w:bCs/>
                <w:sz w:val="24"/>
                <w:szCs w:val="24"/>
              </w:rPr>
              <w:t>осуществляется только в рабочие дни с 8-00 до 12-00 и с 13-00 до 16-00.</w:t>
            </w:r>
            <w:bookmarkEnd w:id="22"/>
          </w:p>
        </w:tc>
      </w:tr>
      <w:tr w:rsidR="00391228">
        <w:tc>
          <w:tcPr>
            <w:tcW w:w="841" w:type="dxa"/>
            <w:tcBorders>
              <w:top w:val="nil"/>
            </w:tcBorders>
            <w:vAlign w:val="center"/>
          </w:tcPr>
          <w:p w:rsidR="00391228" w:rsidRDefault="0039122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jc w:val="both"/>
            </w:pPr>
          </w:p>
        </w:tc>
        <w:tc>
          <w:tcPr>
            <w:tcW w:w="9080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</w:tcBorders>
          </w:tcPr>
          <w:p w:rsidR="00391228" w:rsidRDefault="004442BC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Продукция должна быть новой, не восстановленной, ранее не использовавшейся.</w:t>
            </w:r>
          </w:p>
        </w:tc>
      </w:tr>
    </w:tbl>
    <w:p w:rsidR="00391228" w:rsidRDefault="00391228">
      <w:pPr>
        <w:rPr>
          <w:sz w:val="24"/>
          <w:szCs w:val="24"/>
          <w:lang w:eastAsia="x-none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p w:rsidR="00391228" w:rsidRDefault="00391228">
      <w:pPr>
        <w:rPr>
          <w:b/>
          <w:bCs/>
          <w:i/>
          <w:iCs/>
          <w:sz w:val="24"/>
          <w:szCs w:val="24"/>
        </w:rPr>
      </w:pPr>
    </w:p>
    <w:sectPr w:rsidR="00391228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42BC">
      <w:r>
        <w:separator/>
      </w:r>
    </w:p>
  </w:endnote>
  <w:endnote w:type="continuationSeparator" w:id="0">
    <w:p w:rsidR="00000000" w:rsidRDefault="004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42BC">
      <w:r>
        <w:separator/>
      </w:r>
    </w:p>
  </w:footnote>
  <w:footnote w:type="continuationSeparator" w:id="0">
    <w:p w:rsidR="00000000" w:rsidRDefault="0044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28" w:rsidRDefault="00391228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28" w:rsidRDefault="004442B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28" w:rsidRDefault="0039122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774"/>
    <w:multiLevelType w:val="multilevel"/>
    <w:tmpl w:val="CBC0210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20936"/>
    <w:multiLevelType w:val="multilevel"/>
    <w:tmpl w:val="336C1E3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2577731A"/>
    <w:multiLevelType w:val="multilevel"/>
    <w:tmpl w:val="131A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9226B7"/>
    <w:multiLevelType w:val="multilevel"/>
    <w:tmpl w:val="CF0EF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CB52995"/>
    <w:multiLevelType w:val="multilevel"/>
    <w:tmpl w:val="D382AD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D757D54"/>
    <w:multiLevelType w:val="multilevel"/>
    <w:tmpl w:val="90964F7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6641E23"/>
    <w:multiLevelType w:val="multilevel"/>
    <w:tmpl w:val="968E5A8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</w:lvl>
  </w:abstractNum>
  <w:abstractNum w:abstractNumId="7" w15:restartNumberingAfterBreak="0">
    <w:nsid w:val="54226A2A"/>
    <w:multiLevelType w:val="multilevel"/>
    <w:tmpl w:val="45D2DF6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7E80CF7"/>
    <w:multiLevelType w:val="multilevel"/>
    <w:tmpl w:val="093A70A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69215A04"/>
    <w:multiLevelType w:val="multilevel"/>
    <w:tmpl w:val="452ABE6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363092"/>
    <w:multiLevelType w:val="multilevel"/>
    <w:tmpl w:val="04E2AE0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388692F"/>
    <w:multiLevelType w:val="multilevel"/>
    <w:tmpl w:val="E564BD3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8"/>
    <w:rsid w:val="00391228"/>
    <w:rsid w:val="0044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4843"/>
  <w15:docId w15:val="{4BFF7A70-E8B4-4D33-A690-CB2B476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457BA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457BA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имвол нумерации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7158712601">
    <w:name w:val="17158712601"/>
    <w:qFormat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98F2-16F4-4907-8D36-95F4D2FD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720</Words>
  <Characters>4107</Characters>
  <Application>Microsoft Office Word</Application>
  <DocSecurity>0</DocSecurity>
  <Lines>34</Lines>
  <Paragraphs>9</Paragraphs>
  <ScaleCrop>false</ScaleCrop>
  <Company>Microsoft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47</cp:revision>
  <dcterms:created xsi:type="dcterms:W3CDTF">2025-10-06T05:29:00Z</dcterms:created>
  <dcterms:modified xsi:type="dcterms:W3CDTF">2026-07-08T11:36:00Z</dcterms:modified>
  <dc:language>ru-RU</dc:language>
</cp:coreProperties>
</file>