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85568" w14:textId="0ADA624D" w:rsidR="0097256C" w:rsidRPr="0097256C" w:rsidRDefault="0097256C" w:rsidP="0097256C">
      <w:pPr>
        <w:jc w:val="right"/>
        <w:rPr>
          <w:rFonts w:eastAsia="Calibri"/>
          <w:b/>
          <w:sz w:val="24"/>
          <w:szCs w:val="24"/>
          <w:lang w:eastAsia="en-US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2BF5471" w14:textId="77777777" w:rsidR="0097256C" w:rsidRPr="0097256C" w:rsidRDefault="0097256C" w:rsidP="0097256C">
      <w:pPr>
        <w:keepNext/>
        <w:jc w:val="center"/>
        <w:outlineLvl w:val="0"/>
        <w:rPr>
          <w:b/>
          <w:sz w:val="24"/>
          <w:szCs w:val="24"/>
        </w:rPr>
      </w:pPr>
      <w:r w:rsidRPr="0097256C">
        <w:rPr>
          <w:b/>
          <w:sz w:val="24"/>
          <w:szCs w:val="24"/>
        </w:rPr>
        <w:t>ТЕХНИЧЕСКИЕ ТРЕБОВАНИЯ</w:t>
      </w:r>
    </w:p>
    <w:p w14:paraId="5AD33B33" w14:textId="69EB3552" w:rsidR="00D16518" w:rsidRPr="007B531A" w:rsidRDefault="0097256C" w:rsidP="0097256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  <w:lang w:eastAsia="en-US"/>
        </w:rPr>
      </w:pPr>
      <w:r w:rsidRPr="007B531A">
        <w:rPr>
          <w:sz w:val="24"/>
          <w:szCs w:val="24"/>
        </w:rPr>
        <w:t xml:space="preserve">на </w:t>
      </w:r>
      <w:r w:rsidR="00456B28">
        <w:rPr>
          <w:sz w:val="24"/>
          <w:szCs w:val="24"/>
        </w:rPr>
        <w:t>ОКПД2 27.90.33.110</w:t>
      </w:r>
      <w:r w:rsidR="007B531A" w:rsidRPr="007B531A">
        <w:rPr>
          <w:sz w:val="24"/>
          <w:szCs w:val="24"/>
        </w:rPr>
        <w:t xml:space="preserve"> Поставка запасных частей для нужд Дагестанского филиала АО «Гидроремонт-ВКК» в г. Махачкала</w:t>
      </w:r>
    </w:p>
    <w:p w14:paraId="041945C7" w14:textId="07BC4707" w:rsidR="00FB6D5C" w:rsidRPr="008E6190" w:rsidRDefault="00FB6D5C" w:rsidP="0097256C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4"/>
          <w:szCs w:val="24"/>
          <w:lang w:val="en-US"/>
        </w:rPr>
      </w:pPr>
      <w:r w:rsidRPr="007B531A">
        <w:rPr>
          <w:rStyle w:val="afff6"/>
          <w:i w:val="0"/>
          <w:sz w:val="24"/>
          <w:szCs w:val="24"/>
          <w:shd w:val="clear" w:color="auto" w:fill="auto"/>
        </w:rPr>
        <w:t xml:space="preserve">Лот № </w:t>
      </w:r>
    </w:p>
    <w:p w14:paraId="45806B9C" w14:textId="77777777" w:rsidR="00D16518" w:rsidRPr="0097256C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57B3B7A0" w14:textId="5FF446DC" w:rsidR="00DE1947" w:rsidRPr="00DE1947" w:rsidRDefault="00DE1947" w:rsidP="00DE1947">
      <w:pPr>
        <w:pStyle w:val="1"/>
        <w:ind w:left="3828" w:hanging="426"/>
        <w:rPr>
          <w:sz w:val="24"/>
          <w:szCs w:val="24"/>
        </w:rPr>
      </w:pPr>
      <w:bookmarkStart w:id="0" w:name="_Toc46743506"/>
      <w:bookmarkStart w:id="1" w:name="_Toc75446568"/>
      <w:proofErr w:type="spellStart"/>
      <w:r w:rsidRPr="00DE1947">
        <w:rPr>
          <w:sz w:val="24"/>
          <w:szCs w:val="24"/>
          <w:lang w:val="en-US"/>
        </w:rPr>
        <w:lastRenderedPageBreak/>
        <w:t>Общие</w:t>
      </w:r>
      <w:proofErr w:type="spellEnd"/>
      <w:r w:rsidRPr="00DE1947">
        <w:rPr>
          <w:sz w:val="24"/>
          <w:szCs w:val="24"/>
          <w:lang w:val="en-US"/>
        </w:rPr>
        <w:t xml:space="preserve"> </w:t>
      </w:r>
      <w:proofErr w:type="spellStart"/>
      <w:r w:rsidRPr="00DE1947">
        <w:rPr>
          <w:sz w:val="24"/>
          <w:szCs w:val="24"/>
          <w:lang w:val="en-US"/>
        </w:rPr>
        <w:t>сведения</w:t>
      </w:r>
      <w:proofErr w:type="spellEnd"/>
    </w:p>
    <w:p w14:paraId="5D015D96" w14:textId="142B2EEB" w:rsidR="00E917D0" w:rsidRPr="00DE1947" w:rsidRDefault="001A685D" w:rsidP="00213F03">
      <w:pPr>
        <w:pStyle w:val="4"/>
      </w:pPr>
      <w:r w:rsidRPr="00DE1947">
        <w:t xml:space="preserve">Наименование </w:t>
      </w:r>
      <w:r w:rsidR="0089094C" w:rsidRPr="00DE1947">
        <w:t>закупаемой продукции</w:t>
      </w:r>
      <w:bookmarkEnd w:id="0"/>
      <w:bookmarkEnd w:id="1"/>
    </w:p>
    <w:p w14:paraId="4320AC53" w14:textId="1022BAF7" w:rsidR="00D849AA" w:rsidRPr="003B2969" w:rsidRDefault="00456B28" w:rsidP="00052F87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f6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27.90.33.110</w:t>
      </w:r>
      <w:r w:rsidR="007B531A" w:rsidRPr="007B531A">
        <w:rPr>
          <w:rFonts w:eastAsia="Calibri"/>
          <w:sz w:val="24"/>
          <w:szCs w:val="24"/>
          <w:lang w:eastAsia="x-none"/>
        </w:rPr>
        <w:t xml:space="preserve"> Поставка запасных частей для нужд Дагестанского филиала АО «Гидроремонт-ВКК» в г. Махачкала</w:t>
      </w:r>
      <w:r w:rsidR="00C11E37" w:rsidRPr="003B2969">
        <w:rPr>
          <w:rFonts w:eastAsia="Calibri"/>
          <w:sz w:val="24"/>
          <w:szCs w:val="24"/>
          <w:lang w:eastAsia="x-none"/>
        </w:rPr>
        <w:t>.</w:t>
      </w:r>
    </w:p>
    <w:p w14:paraId="34219270" w14:textId="229CC469" w:rsidR="00E917D0" w:rsidRPr="000B6191" w:rsidRDefault="00B7169F" w:rsidP="001213FF">
      <w:pPr>
        <w:pStyle w:val="4"/>
        <w:spacing w:before="240"/>
        <w:ind w:left="431" w:hanging="431"/>
      </w:pPr>
      <w:bookmarkStart w:id="2" w:name="_Toc46743507"/>
      <w:bookmarkStart w:id="3" w:name="_Toc75446569"/>
      <w:r w:rsidRPr="000B6191">
        <w:t xml:space="preserve">Цель </w:t>
      </w:r>
      <w:bookmarkEnd w:id="2"/>
      <w:r w:rsidR="001A53C8" w:rsidRPr="000B6191">
        <w:rPr>
          <w:lang w:val="ru-RU"/>
        </w:rPr>
        <w:t xml:space="preserve">использования закупаемой продукции </w:t>
      </w:r>
      <w:bookmarkEnd w:id="3"/>
      <w:r w:rsidR="00213F03" w:rsidRPr="000B6191">
        <w:t xml:space="preserve"> </w:t>
      </w:r>
    </w:p>
    <w:p w14:paraId="0BD3BD6C" w14:textId="2F676B95" w:rsidR="004B62E6" w:rsidRPr="00503954" w:rsidRDefault="00D82E6E" w:rsidP="00052F87">
      <w:pPr>
        <w:widowControl w:val="0"/>
        <w:shd w:val="clear" w:color="auto" w:fill="FFFFFF" w:themeFill="background1"/>
        <w:spacing w:before="120" w:after="240"/>
        <w:ind w:left="284"/>
        <w:jc w:val="both"/>
        <w:rPr>
          <w:rStyle w:val="afff6"/>
          <w:b w:val="0"/>
          <w:bCs/>
          <w:i w:val="0"/>
          <w:sz w:val="24"/>
          <w:szCs w:val="24"/>
        </w:rPr>
      </w:pPr>
      <w:r w:rsidRPr="000B6191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Исполнение договора </w:t>
      </w:r>
      <w:r w:rsidR="00646AAB" w:rsidRPr="000B6191">
        <w:rPr>
          <w:sz w:val="24"/>
          <w:szCs w:val="24"/>
        </w:rPr>
        <w:t>№ 1-Рем-2023-ДФ/1080-494-2023 от 08.11.2023г</w:t>
      </w:r>
      <w:r w:rsidR="000B6191" w:rsidRPr="000B6191">
        <w:rPr>
          <w:sz w:val="24"/>
          <w:szCs w:val="24"/>
        </w:rPr>
        <w:t>. «Капитальный и текущий ремонт оборудования, здания и сооружения филиала ПАО "РусГидро"- "Дагестанский филиал"»</w:t>
      </w:r>
      <w:r w:rsidR="00503954">
        <w:rPr>
          <w:sz w:val="24"/>
          <w:szCs w:val="24"/>
        </w:rPr>
        <w:t xml:space="preserve">, </w:t>
      </w:r>
      <w:r w:rsidR="00503954" w:rsidRPr="00503954">
        <w:rPr>
          <w:sz w:val="24"/>
          <w:szCs w:val="24"/>
        </w:rPr>
        <w:t>заключенного между ПАО «РусГидро» - «Дагестанский филиал» и АО «Гидроремонт-ВКК».</w:t>
      </w:r>
    </w:p>
    <w:p w14:paraId="2D8408B0" w14:textId="1FB7EF1D" w:rsidR="00677D68" w:rsidRPr="000B6191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4" w:name="_Toc51339693"/>
      <w:bookmarkStart w:id="5" w:name="_Toc75446573"/>
      <w:bookmarkStart w:id="6" w:name="_Toc50125126"/>
      <w:bookmarkStart w:id="7" w:name="_Toc46743510"/>
      <w:r w:rsidRPr="000B6191">
        <w:rPr>
          <w:iCs/>
          <w:sz w:val="24"/>
          <w:szCs w:val="24"/>
        </w:rPr>
        <w:t>Требования к продукции</w:t>
      </w:r>
      <w:bookmarkEnd w:id="4"/>
      <w:bookmarkEnd w:id="5"/>
    </w:p>
    <w:p w14:paraId="13CBFA43" w14:textId="09755267" w:rsidR="00943CA0" w:rsidRPr="000B6191" w:rsidRDefault="00C9139A" w:rsidP="00C9139A">
      <w:pPr>
        <w:pStyle w:val="4"/>
      </w:pPr>
      <w:bookmarkStart w:id="8" w:name="_Toc75446574"/>
      <w:r w:rsidRPr="000B6191">
        <w:t xml:space="preserve">Требования к объемам и срокам </w:t>
      </w:r>
      <w:r w:rsidR="001A53C8" w:rsidRPr="000B6191">
        <w:rPr>
          <w:lang w:val="ru-RU"/>
        </w:rPr>
        <w:t>поставки</w:t>
      </w:r>
      <w:bookmarkEnd w:id="8"/>
    </w:p>
    <w:p w14:paraId="58D95BB4" w14:textId="60C168D8" w:rsidR="00C9139A" w:rsidRPr="000B6191" w:rsidRDefault="001A53C8" w:rsidP="00F06CB0">
      <w:pPr>
        <w:pStyle w:val="30"/>
        <w:spacing w:before="0" w:after="0"/>
      </w:pPr>
      <w:bookmarkStart w:id="9" w:name="_Toc75446575"/>
      <w:r w:rsidRPr="000B6191">
        <w:rPr>
          <w:lang w:val="ru-RU"/>
        </w:rPr>
        <w:t>Перечень и объем закупаемой продукции</w:t>
      </w:r>
      <w:bookmarkEnd w:id="9"/>
    </w:p>
    <w:p w14:paraId="4137319F" w14:textId="230F9830" w:rsidR="004F7743" w:rsidRPr="000B6191" w:rsidRDefault="00DF17ED" w:rsidP="00CB50A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75446576"/>
      <w:r w:rsidRPr="000B6191">
        <w:rPr>
          <w:sz w:val="24"/>
          <w:szCs w:val="24"/>
        </w:rPr>
        <w:t xml:space="preserve">Таблица </w:t>
      </w:r>
      <w:r w:rsidR="001A53C8" w:rsidRPr="000B6191">
        <w:rPr>
          <w:sz w:val="24"/>
          <w:szCs w:val="24"/>
          <w:lang w:val="ru-RU"/>
        </w:rPr>
        <w:t>1</w:t>
      </w:r>
      <w:r w:rsidR="00F27719" w:rsidRPr="000B6191">
        <w:rPr>
          <w:sz w:val="24"/>
          <w:szCs w:val="24"/>
          <w:lang w:val="ru-RU"/>
        </w:rPr>
        <w:t>.</w:t>
      </w:r>
      <w:r w:rsidR="001A53C8" w:rsidRPr="000B6191">
        <w:rPr>
          <w:sz w:val="24"/>
          <w:szCs w:val="24"/>
          <w:lang w:val="ru-RU"/>
        </w:rPr>
        <w:t>1</w:t>
      </w:r>
      <w:r w:rsidRPr="000B6191">
        <w:rPr>
          <w:sz w:val="24"/>
          <w:szCs w:val="24"/>
        </w:rPr>
        <w:t xml:space="preserve"> </w:t>
      </w:r>
      <w:r w:rsidR="004F7743" w:rsidRPr="000B6191">
        <w:rPr>
          <w:sz w:val="24"/>
          <w:szCs w:val="24"/>
          <w:lang w:val="ru-RU"/>
        </w:rPr>
        <w:t xml:space="preserve">Перечень </w:t>
      </w:r>
      <w:bookmarkEnd w:id="10"/>
      <w:r w:rsidR="001A53C8" w:rsidRPr="000B6191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843"/>
        <w:gridCol w:w="850"/>
        <w:gridCol w:w="993"/>
        <w:gridCol w:w="1275"/>
        <w:gridCol w:w="1275"/>
      </w:tblGrid>
      <w:tr w:rsidR="00456B28" w:rsidRPr="00456B28" w14:paraId="5BF842F6" w14:textId="666B6D3F" w:rsidTr="00456B28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57DB5E" w14:textId="77777777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№</w:t>
            </w:r>
          </w:p>
          <w:p w14:paraId="72EF1F95" w14:textId="6887A87F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9B97A1" w14:textId="451F11D1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ECCB7" w14:textId="78D0EAAB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Номер чертежа, обозначение, требования к продукции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14E91C" w14:textId="70F054B6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3FA70C" w14:textId="2BC18296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C8C940" w14:textId="4AF61176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Наименование ГЭС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4AF123" w14:textId="5E01E55B" w:rsidR="006465E9" w:rsidRPr="00456B28" w:rsidRDefault="006465E9" w:rsidP="008E36DE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Принадлежность к первой категории</w:t>
            </w:r>
          </w:p>
        </w:tc>
      </w:tr>
      <w:tr w:rsidR="00456B28" w:rsidRPr="00456B28" w14:paraId="45A4ED12" w14:textId="5011B118" w:rsidTr="00456B28">
        <w:trPr>
          <w:trHeight w:val="20"/>
        </w:trPr>
        <w:tc>
          <w:tcPr>
            <w:tcW w:w="709" w:type="dxa"/>
          </w:tcPr>
          <w:p w14:paraId="5E2DBBC5" w14:textId="77777777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56B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895DB1" w14:textId="77777777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56B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0AE0DA0" w14:textId="6E54116B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456B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7FDC2311" w14:textId="59B35FA4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456B2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14:paraId="3B3A463A" w14:textId="2D4C4701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456B28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DE8E" w14:textId="2B9AD2E3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</w:tcPr>
          <w:p w14:paraId="51C3B657" w14:textId="76DD5305" w:rsidR="006465E9" w:rsidRPr="00456B28" w:rsidRDefault="006465E9" w:rsidP="006465E9">
            <w:pPr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456B28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456B28" w:rsidRPr="00456B28" w14:paraId="7020EC3B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2383ACE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C102" w14:textId="07E553DB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Гайка НК-304(крепление КТ к корпусу КЗ)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5134" w14:textId="6E99D04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М80х4.6Н-25Х1МФ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0BCF" w14:textId="0908521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EED3" w14:textId="1F42AA7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2E6" w14:textId="6D9924C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DA57" w14:textId="1F54AB4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348FF338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A1C233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F285" w14:textId="03CE9A9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Гайка НК-431  (крепление корпуса КЗ к статору)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C9E8" w14:textId="1DD8EAE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М80х4.6Н-25Х1МФ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B136" w14:textId="5B92EDE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15B3" w14:textId="2EBD79C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C7D" w14:textId="2724F01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2688" w14:textId="7A88139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25B369A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1726D95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67B" w14:textId="280CE51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Ниппель (Подвод воздуха к рем. Уплотнению вала)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638" w14:textId="25B833A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3-ГТ122076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DDCD" w14:textId="35F4BBD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B193" w14:textId="08D772C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5C19" w14:textId="4F1B575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45C5" w14:textId="70ABA6F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0768A3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E96317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5C60" w14:textId="11BCE46B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Домкрат гидравлический (приспособления для спаривания валов)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7B76" w14:textId="26A1523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2-ГТ123571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1444" w14:textId="4C5A712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999" w14:textId="44B344C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F101" w14:textId="66F21B7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44B5" w14:textId="4E49D7F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8F8568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A1AEEE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D4D3" w14:textId="1693A089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Болт крепления корпуса ТП к крышке турбины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7FF0" w14:textId="15DB368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3-ГТ1316642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F980" w14:textId="2C63345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8C7" w14:textId="74DB5BC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BA8E" w14:textId="711477E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78363" w14:textId="46A077C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3C036828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A1CC359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17A8" w14:textId="000D3C88" w:rsidR="006465E9" w:rsidRPr="00456B28" w:rsidRDefault="00456B28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Кольцо нижней цапфы лопаток</w:t>
            </w:r>
            <w:r w:rsidR="006465E9" w:rsidRPr="00456B28">
              <w:rPr>
                <w:sz w:val="20"/>
                <w:szCs w:val="20"/>
              </w:rPr>
              <w:t xml:space="preserve"> направляющего аппарата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834" w14:textId="15C7EE9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3-ГТ136049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AA5E" w14:textId="1E5C8BE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AC11" w14:textId="5F70EA9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7BEC" w14:textId="394994D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F2CC" w14:textId="7D4498F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B932C2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BF9DAC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B2D6" w14:textId="7C12F022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Кольцо средней цапфы лопаток направляющего аппарата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B666" w14:textId="321952B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3-ГТ136050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4E3B" w14:textId="09E3DD5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0BD8" w14:textId="05AE7D6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2D05" w14:textId="56DEE7F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3236" w14:textId="5977E32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50E2D9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8122C57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BA6E" w14:textId="7D934122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Втулка скольжения нижнего подшипника лопаток 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9F9" w14:textId="1086852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3-ГТ135750-02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D164" w14:textId="120E113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E4A8" w14:textId="40B65BC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2B26" w14:textId="4076115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D00A2" w14:textId="3039165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88E1898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F761CD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E9E9" w14:textId="1536AE10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Втулка скольжения среднего подшипника лопаток 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73F9" w14:textId="13AFFB9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3-ГТ135750-01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99E" w14:textId="2EEC502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D3EE" w14:textId="3ACC37C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5966" w14:textId="0C837D2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90768" w14:textId="1BF5FEB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CEAFEB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5243B4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2AFA" w14:textId="6DC0674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Втулка скольжения верхнего подшипника лопаток 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A9D1" w14:textId="6154C84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3-ГТ135750-01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671B" w14:textId="47854D1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48C7" w14:textId="5FEB969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6201" w14:textId="2B64755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EF8E" w14:textId="2484757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18767F6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39998D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9A7A" w14:textId="0946722D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торцевое уплотнение лопаток НА (нижнее)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1583" w14:textId="0C94D4A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4-ГТ131342-03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F83E" w14:textId="6BFC146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1818" w14:textId="40A7006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7496" w14:textId="47F66B5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4C0D" w14:textId="7268842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2D2C9D5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2AC2F05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A6D0" w14:textId="6E96CD2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торцевое уплотнение лопаток НА (верхнее)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44CB" w14:textId="44AF5B6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4-ГТ131342-02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E14F" w14:textId="61C6E1D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6B11" w14:textId="25D36D1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C302" w14:textId="5380AF3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3D12" w14:textId="4FBC67D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7DAB141B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95D89A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7F2F" w14:textId="2A4898AC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Винт. Крепление прижимных планок торцевого уплотнения лопаток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1601" w14:textId="1652F3A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4-ГТ119270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55F" w14:textId="3B0DFA9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490C" w14:textId="2252E21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10A6" w14:textId="0ACDA25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4194A" w14:textId="418DC8A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125700D9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408D5F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224" w14:textId="3E15DA1F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Подшипники рычагов лопаток направляющего аппарата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0C68" w14:textId="075A616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4-ГТ136333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EDDE" w14:textId="60B7B25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068" w14:textId="0242943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485B" w14:textId="0DD9147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C2FE9" w14:textId="0883A9E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1898A375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EC83A68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7CC0" w14:textId="675DB6B8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Труба. Для вырезки компенсирующих колец уст. между серьгами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AAD8" w14:textId="315873E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4-ГТ136337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D2D3" w14:textId="4F3CFA8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9E87" w14:textId="716463F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630" w14:textId="5BF393B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379E8" w14:textId="1156967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D55A51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C381D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FF41" w14:textId="11379A6C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Втулка. Уст. между серьгами и накладками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094C" w14:textId="2964496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4-ГТ135877-01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9AA7" w14:textId="335ADCE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BDD4" w14:textId="3FDA824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ACF6" w14:textId="2A76B5F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3A98" w14:textId="4D1DFE9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955DB0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AC702E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46FE" w14:textId="1D2BD217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(углеграфитовые сектора уплотнения вала турбины)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2D2D" w14:textId="0761BDE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3-ГТ135956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0C50" w14:textId="3CC4EC9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214A" w14:textId="69B5D81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14FD" w14:textId="272E859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517FB" w14:textId="44E71A4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069BA9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DBFF255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8477" w14:textId="35278051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(углеграфитовые сектора уплотнения вала турбины)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9E0C" w14:textId="4BBE2E1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3-ГТ135957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23E0" w14:textId="002FC5C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2969" w14:textId="43C2E11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501D" w14:textId="3EC7BDA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5D3D" w14:textId="6C1D24E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922C90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6F225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206" w14:textId="47727399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(углеграфитовые сектора уплотнения вала турбины)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1CF0" w14:textId="59FA070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3-ГТ135958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E72" w14:textId="264331D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CD9C" w14:textId="7ADBC33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211A" w14:textId="0FC4B58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BD7A" w14:textId="40974A2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CE66C4B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688392F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C020" w14:textId="0CC99C10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(углеграфитовые сектора уплотнения вала турбины)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75CD" w14:textId="67ECBB5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3-ГТ135959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BB6" w14:textId="5BDD2B6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3E79" w14:textId="4ED8375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1C90" w14:textId="08748C1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7B20" w14:textId="6AD38EE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33FB213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D541DB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268" w14:textId="2D74BF5F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Пружина с горячей оцинковкой. (уплотнение вала турбины)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44B" w14:textId="7FDBAEA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4-ГТ96347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FC78" w14:textId="57CFBB4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5EA9" w14:textId="575169B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627" w14:textId="7A2EB02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55C9" w14:textId="64DD9D7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BCCE87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D9F4344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9AB" w14:textId="72DE63C5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Стакан. Уплотнение вала турбины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986" w14:textId="29C72EE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4-ГТ135961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F2CD" w14:textId="69525FA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9CAF" w14:textId="182CB4B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7F48" w14:textId="6C28E70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A2DE" w14:textId="5CD493A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D756C7C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FE80C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B6B" w14:textId="58A6689D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Шланг (Подвод воздуха к ремонтному уплотнению вала)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B2BA" w14:textId="595F3AA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2-ГТ112664-08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4EA7" w14:textId="061E37B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48A3" w14:textId="504C096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CEFF" w14:textId="7833614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18B9A" w14:textId="4649DDC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0A656D35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CCFAD35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B421" w14:textId="0308262E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Гайка (Подвод воздуха к рем. Уплотнению вала)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22B7" w14:textId="3559A6E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4-ГТ97025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A052" w14:textId="101258F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B76" w14:textId="2AEACDD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9439" w14:textId="66282FD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7F741" w14:textId="648ACCD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00CF9136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01B2FA4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98EB" w14:textId="6AAD6FB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Гайка (Подвод воздуха к рем. Уплотнению вала)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5068" w14:textId="4B64D96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4-ГТ122676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E1" w14:textId="0CE6DAF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9BC7" w14:textId="0F6A076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E6A4" w14:textId="2EBF605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ED1E" w14:textId="58001E0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D16A74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9FB658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3C1E" w14:textId="1AA320B1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Шпилька М80. Крепление КТ к корпусу кольцевого затвора (КЗ)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FED3" w14:textId="76F4934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3-ГТ136332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B9C5" w14:textId="71A9ADB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A199" w14:textId="157A160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89F2" w14:textId="7EDF7CE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14B0" w14:textId="39D5D61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6AADFAC1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0276920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C6CB" w14:textId="7F29D7AD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Болты М100х4. Болты спаривания валов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2F3D" w14:textId="1FC26B8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1AAA" w14:textId="07ABEE9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CDFD" w14:textId="69EC43A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B7B6" w14:textId="5EC8D7C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41C5" w14:textId="604FF55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5866678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DA09C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FD17" w14:textId="0343FC97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Гайка (На болты спаривания валов)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C3E" w14:textId="00A4BD9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4AD" w14:textId="27ED78F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1CDB" w14:textId="5C45DD1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23BB" w14:textId="5A0AF05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DFA3" w14:textId="362BA84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3880B813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9D79EE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6E6" w14:textId="623DE05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Болты М100х4. Крепление рабочего колеса к валу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BDB6" w14:textId="4B0A1AA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4-ГТ136161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C5E3" w14:textId="7F3F9AE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55FB" w14:textId="4625E70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D85E" w14:textId="70B32DE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40B9" w14:textId="223B98A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0FDD6F1E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D227397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34A8" w14:textId="7AD3EE8D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Стяжка (приспособления для спаривания валов)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F1D6" w14:textId="5DAC64F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3-ГТ136392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92A8" w14:textId="371C0AF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10DE" w14:textId="49DDC4B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B289" w14:textId="24F4807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0CAE" w14:textId="5588739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7A52138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CFC87C6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8169" w14:textId="2F73879E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Верхнее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61C0" w14:textId="39AAFC5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DCF7" w14:textId="5BD0FE5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BDE2" w14:textId="7BBA499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7AF9" w14:textId="52EFFED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E4BE2" w14:textId="7E19189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44344F19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C55BD2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5F54" w14:textId="7E267D8E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Верхнее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03C5" w14:textId="6F9EE1C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3F68" w14:textId="34A5F49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6461" w14:textId="5DA5B48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898" w14:textId="5C11244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3C7CA" w14:textId="100A658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859F4EB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5CB4D32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4C36" w14:textId="25ABA387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Верхнее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6D50" w14:textId="3D478EA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6AA8" w14:textId="390C61A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8BA4" w14:textId="2B0C55F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CB84" w14:textId="18A96FE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FFE5" w14:textId="70EA81C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C154E33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15B79B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A626" w14:textId="44AD3E18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Верхнее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EEC" w14:textId="7D38083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BBE3" w14:textId="134A7A9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B960" w14:textId="2B4E8E0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DA5" w14:textId="37373FB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5D69" w14:textId="61697C8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C496D4E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865D830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853A" w14:textId="45340692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Сектор. Верхнее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C91B" w14:textId="699FE94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CBC6" w14:textId="7FAACCA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6943" w14:textId="567ADC8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0C7C" w14:textId="5D945C4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EC42" w14:textId="2E4456A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467967C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7F30E3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6B3A" w14:textId="77ECDF6F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Винт. Крепление верхнего уплотнения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2D1" w14:textId="36C4B40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3-ГТ131506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AC7" w14:textId="426B964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7210" w14:textId="34716DE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2FB0" w14:textId="1FA4A88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EADA0" w14:textId="2BF1982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8F2F1BC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504F834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9E9C" w14:textId="5544A1B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Винт. Крепление верхнего уплотнение щита КЗ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9798" w14:textId="333BB16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3-ГТ131506-02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82A7" w14:textId="7E91E24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11BE" w14:textId="3DA3845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70C3" w14:textId="0AE1CDE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6E08" w14:textId="079D682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1893B145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30A86A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D2A9" w14:textId="44FC644F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Шнур. Нижнее уплотнение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6374" w14:textId="1411D17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2C9C" w14:textId="45187B2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43D9" w14:textId="5738A16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D7F" w14:textId="13A5241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BA3E" w14:textId="57E2BA3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0BE36E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046840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4454" w14:textId="21A1167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Болт. Крепление верхнего уплотнения щита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25B5" w14:textId="0A9D0D7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4-ГТ136679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4668" w14:textId="3295461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B95B" w14:textId="23AE870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216" w14:textId="41661B8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C408" w14:textId="39571FD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8878BBD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8CDF0E0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8423" w14:textId="3BE6F4E5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Шпилька. Крепление корпуса КЗ к статору турбины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067D" w14:textId="461B065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3-ГТ136321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9FBC" w14:textId="797E9A2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BD39" w14:textId="08ED24D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FAA" w14:textId="053C264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09F4" w14:textId="2C8A300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да</w:t>
            </w:r>
          </w:p>
        </w:tc>
      </w:tr>
      <w:tr w:rsidR="00456B28" w:rsidRPr="00456B28" w14:paraId="63CFA36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308B10C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D599" w14:textId="264DDB19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Шайба. Крепление корпуса КЗ к статору турбины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5049" w14:textId="15CE3B1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4-ГТ136551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C42D" w14:textId="0CA9F43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F35F" w14:textId="6F0B963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35F" w14:textId="6F961A4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7B78" w14:textId="776299C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AA124A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BB9296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4FDF" w14:textId="13DB02C2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Болт. Крепление сервомоторов кольцевого затвора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ED83" w14:textId="23BD261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2-ГТ136319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89B6" w14:textId="2A8F5FF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0421" w14:textId="5961CE1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51CA" w14:textId="6C7B32D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26F3" w14:textId="076694C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4B61F21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06DAA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176C" w14:textId="54059A8D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Вкладыш (кольцевой затвор)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6847" w14:textId="2A6B003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2-ГТ136372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0E56" w14:textId="182D15A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C8F7" w14:textId="14A3E5A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2BDB" w14:textId="4D5A578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8FC3" w14:textId="415C6E6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76C009B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9277A4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8308" w14:textId="7606F766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Сектор (Бронза. Уплотнение вала турбины - 4 сектора)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8313" w14:textId="65F34EB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3-ГТ135962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6072" w14:textId="6EAE36E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C882" w14:textId="2C7CD95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D004" w14:textId="1DDC551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Ирганайская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0DED" w14:textId="45131A2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CCBD0D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042DD9F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F2B4" w14:textId="044DFEA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Маслоохладитель турбинного подшипника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CA58" w14:textId="421F801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1-ГТ 136062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B7A" w14:textId="4CABAD7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211" w14:textId="712A583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59D04" w14:textId="28B85F8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Миатлинская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D93C" w14:textId="66DEE35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42BC24B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2171C92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AFF8C8" w14:textId="3F2E9359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Лепесток уплотнительный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E818A7" w14:textId="4D81183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4-ГТ105672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068C37" w14:textId="00861ED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3E1A1B" w14:textId="345A5CF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EE6DB0" w14:textId="44352BD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Миатлинская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6F06" w14:textId="2B254C5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5F2FB1AB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D8D9F8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2ECB00" w14:textId="78D798E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Лепесток уплотнительный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2E728E" w14:textId="6C8AE27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4-ГТ105674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ED63DD" w14:textId="09ACA24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1CEA8E" w14:textId="3ED983F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BF4C" w14:textId="46DF854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182F" w14:textId="65F2C8B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013A5E4E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3BFCADB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D61651" w14:textId="021161B0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Манжета уплотнения РК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22E456" w14:textId="271F3CC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4-ГТ101439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9E98F3" w14:textId="39A9B0C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5E76B8" w14:textId="3DF0A4D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D651" w14:textId="080830F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Гоцатлинской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D65E2" w14:textId="13B688C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B98C855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408996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22A0" w14:textId="6FDD3DFA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Серьга  кинематики НА ГТ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1EFA" w14:textId="746AC19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2-ГТ192209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4845" w14:textId="53F12D1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44D4" w14:textId="665C9D4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35C5" w14:textId="3D4BFEA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Гоцатлинской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F309E" w14:textId="7A8FB8B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4F9445E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4A41CA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C537" w14:textId="159FA400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Дросель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98F0" w14:textId="3E923D1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3-ГТ133053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ED60" w14:textId="0A0AB4A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72F0" w14:textId="57C0B71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5D1D" w14:textId="27741A1E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2CB7" w14:textId="1451B8F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7F815870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4B0F42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0403" w14:textId="28634814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Вкладыши обрезиненные комплект из 6 частей черт. 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A0EF" w14:textId="0B3D5C1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2-ГТ27509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D35B" w14:textId="173DD4F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компл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1E6D" w14:textId="3A1EC943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CA08" w14:textId="2C1AAA2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Гунибской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29AB" w14:textId="0D2AD28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2ED602E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02AC04B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BD9D" w14:textId="03D0E3F6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Уплотнитель  (уплотнение дискового затвора)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E4A3" w14:textId="4C01B611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3-ГТ133586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0852" w14:textId="4A1BF385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A17" w14:textId="2D5A098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65F7" w14:textId="15FE1E9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Гунибской ГЭС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EB833" w14:textId="10E25CD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4CA77C23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78FB4E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F25A" w14:textId="7FC60CC9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Шпильки (крепление крышки турбины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65FF" w14:textId="78B2855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 4ГТ134634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D8DB" w14:textId="722CACE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0EB7" w14:textId="36F1F57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BCDF" w14:textId="50E855D4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A756B" w14:textId="2B24A7F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8FF5ABF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5224A1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0D20" w14:textId="6BE5729A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Втулка бронзовая 128 мм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8043" w14:textId="73B31CCB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5-ГТ11385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32B9" w14:textId="7B634852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DFBC" w14:textId="2ADA6D6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4930" w14:textId="7C31911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72B28" w14:textId="72F6807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31D74093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7493A96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673B" w14:textId="5C6A7A40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Втулка бронзовая 215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1AFF" w14:textId="39649A0C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5-ГТ11373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9D4D" w14:textId="18A496F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65B1" w14:textId="7D4117B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A365" w14:textId="1497E87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2586" w14:textId="20C6A40F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619D2504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D51867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E874" w14:textId="7BE0D046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Втулка бронзовая 78 мм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9D75" w14:textId="6376936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5-ГТ11386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59F5" w14:textId="45379CF9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FEA6" w14:textId="018DE00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A48F" w14:textId="22BEC1AD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Чирюртская ГЭС-2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CD67D" w14:textId="6AD952A0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  <w:tr w:rsidR="00456B28" w:rsidRPr="00456B28" w14:paraId="24DEF8CA" w14:textId="77777777" w:rsidTr="00456B28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4A1FFB7" w14:textId="77777777" w:rsidR="006465E9" w:rsidRPr="00456B28" w:rsidRDefault="006465E9" w:rsidP="006465E9">
            <w:pPr>
              <w:pStyle w:val="aff5"/>
              <w:numPr>
                <w:ilvl w:val="0"/>
                <w:numId w:val="11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FF0D" w14:textId="7AA30443" w:rsidR="006465E9" w:rsidRPr="00456B28" w:rsidRDefault="006465E9" w:rsidP="006465E9">
            <w:pPr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 xml:space="preserve">Штанга маслоприемника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5AF5" w14:textId="5701B67A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2-ГТ11377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3C8D" w14:textId="3AD8A27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B502" w14:textId="23DDB056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50F" w14:textId="77777777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1C1A8" w14:textId="740CD318" w:rsidR="006465E9" w:rsidRPr="00456B28" w:rsidRDefault="006465E9" w:rsidP="006465E9">
            <w:pPr>
              <w:suppressAutoHyphens/>
              <w:jc w:val="center"/>
              <w:rPr>
                <w:sz w:val="20"/>
                <w:szCs w:val="20"/>
              </w:rPr>
            </w:pPr>
            <w:r w:rsidRPr="00456B28">
              <w:rPr>
                <w:sz w:val="20"/>
                <w:szCs w:val="20"/>
              </w:rPr>
              <w:t>нет</w:t>
            </w:r>
          </w:p>
        </w:tc>
      </w:tr>
    </w:tbl>
    <w:p w14:paraId="0A9D0957" w14:textId="30F92D25" w:rsidR="008262B2" w:rsidRPr="000B6191" w:rsidRDefault="008262B2" w:rsidP="008262B2">
      <w:pPr>
        <w:pStyle w:val="30"/>
        <w:rPr>
          <w:lang w:val="ru-RU"/>
        </w:rPr>
      </w:pPr>
      <w:bookmarkStart w:id="12" w:name="_Toc51339696"/>
      <w:bookmarkStart w:id="13" w:name="_Toc75446578"/>
      <w:r w:rsidRPr="000B6191">
        <w:rPr>
          <w:lang w:val="ru-RU"/>
        </w:rPr>
        <w:t xml:space="preserve">Требования </w:t>
      </w:r>
      <w:bookmarkEnd w:id="12"/>
      <w:r w:rsidR="00F27719" w:rsidRPr="000B6191">
        <w:rPr>
          <w:lang w:val="ru-RU"/>
        </w:rPr>
        <w:t xml:space="preserve">к </w:t>
      </w:r>
      <w:r w:rsidR="001A53C8" w:rsidRPr="000B6191">
        <w:rPr>
          <w:lang w:val="ru-RU"/>
        </w:rPr>
        <w:t xml:space="preserve">срокам поставки продукции </w:t>
      </w:r>
      <w:bookmarkEnd w:id="13"/>
    </w:p>
    <w:p w14:paraId="3F88986C" w14:textId="45275C83" w:rsidR="00AE68EA" w:rsidRPr="000B6191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75446579"/>
      <w:bookmarkEnd w:id="6"/>
      <w:r w:rsidRPr="000B6191">
        <w:rPr>
          <w:sz w:val="24"/>
          <w:szCs w:val="24"/>
        </w:rPr>
        <w:t xml:space="preserve">Таблица </w:t>
      </w:r>
      <w:r w:rsidR="001A53C8" w:rsidRPr="000B6191">
        <w:rPr>
          <w:sz w:val="24"/>
          <w:szCs w:val="24"/>
          <w:lang w:val="ru-RU"/>
        </w:rPr>
        <w:t>2</w:t>
      </w:r>
      <w:r w:rsidRPr="000B6191">
        <w:rPr>
          <w:sz w:val="24"/>
          <w:szCs w:val="24"/>
        </w:rPr>
        <w:t>.</w:t>
      </w:r>
      <w:r w:rsidR="001A53C8" w:rsidRPr="000B6191">
        <w:rPr>
          <w:sz w:val="24"/>
          <w:szCs w:val="24"/>
          <w:lang w:val="ru-RU"/>
        </w:rPr>
        <w:t>1</w:t>
      </w:r>
      <w:r w:rsidRPr="000B6191">
        <w:rPr>
          <w:sz w:val="24"/>
          <w:szCs w:val="24"/>
        </w:rPr>
        <w:t xml:space="preserve"> </w:t>
      </w:r>
      <w:bookmarkStart w:id="17" w:name="_Hlk50465284"/>
      <w:r w:rsidRPr="000B6191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 w:rsidRPr="000B6191">
        <w:rPr>
          <w:sz w:val="24"/>
          <w:szCs w:val="24"/>
          <w:lang w:val="ru-RU"/>
        </w:rPr>
        <w:t>поставки продукции</w:t>
      </w:r>
      <w:bookmarkEnd w:id="16"/>
      <w:r w:rsidR="00940404" w:rsidRPr="000B6191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3260"/>
      </w:tblGrid>
      <w:tr w:rsidR="00940404" w:rsidRPr="000B6191" w14:paraId="4A8BD487" w14:textId="77777777" w:rsidTr="00E53DA6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0B6191" w:rsidRDefault="00940404" w:rsidP="00515D7D">
            <w:pPr>
              <w:jc w:val="center"/>
              <w:rPr>
                <w:sz w:val="24"/>
                <w:szCs w:val="24"/>
              </w:rPr>
            </w:pPr>
            <w:r w:rsidRPr="000B6191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F13F0" w14:textId="6A25615D" w:rsidR="00940404" w:rsidRPr="000B6191" w:rsidRDefault="00940404" w:rsidP="00515D7D">
            <w:pPr>
              <w:jc w:val="center"/>
              <w:rPr>
                <w:sz w:val="24"/>
                <w:szCs w:val="24"/>
              </w:rPr>
            </w:pPr>
            <w:r w:rsidRPr="000B6191">
              <w:rPr>
                <w:sz w:val="24"/>
                <w:szCs w:val="24"/>
              </w:rPr>
              <w:t xml:space="preserve">Наименование </w:t>
            </w:r>
            <w:r w:rsidR="001A53C8" w:rsidRPr="000B6191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0B6191" w:rsidRDefault="00940404" w:rsidP="00940404">
            <w:pPr>
              <w:jc w:val="center"/>
              <w:rPr>
                <w:sz w:val="24"/>
                <w:szCs w:val="24"/>
              </w:rPr>
            </w:pPr>
            <w:r w:rsidRPr="000B6191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0B6191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260" w:type="dxa"/>
            <w:vAlign w:val="center"/>
          </w:tcPr>
          <w:p w14:paraId="6C15980A" w14:textId="04414C30" w:rsidR="00940404" w:rsidRPr="000B6191" w:rsidRDefault="00940404" w:rsidP="00940404">
            <w:pPr>
              <w:jc w:val="center"/>
              <w:rPr>
                <w:sz w:val="24"/>
                <w:szCs w:val="24"/>
              </w:rPr>
            </w:pPr>
            <w:r w:rsidRPr="000B6191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0B6191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0B6191" w14:paraId="263C1A64" w14:textId="77777777" w:rsidTr="00E53DA6">
        <w:tc>
          <w:tcPr>
            <w:tcW w:w="846" w:type="dxa"/>
            <w:shd w:val="clear" w:color="auto" w:fill="auto"/>
          </w:tcPr>
          <w:p w14:paraId="71652697" w14:textId="77777777" w:rsidR="00940404" w:rsidRPr="000B6191" w:rsidRDefault="00940404" w:rsidP="00515D7D">
            <w:pPr>
              <w:jc w:val="center"/>
              <w:rPr>
                <w:sz w:val="24"/>
                <w:szCs w:val="24"/>
              </w:rPr>
            </w:pPr>
            <w:r w:rsidRPr="000B61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86701B" w14:textId="77777777" w:rsidR="00940404" w:rsidRPr="000B6191" w:rsidRDefault="00940404" w:rsidP="00515D7D">
            <w:pPr>
              <w:jc w:val="center"/>
              <w:rPr>
                <w:sz w:val="24"/>
                <w:szCs w:val="24"/>
              </w:rPr>
            </w:pPr>
            <w:r w:rsidRPr="000B61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0B619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0B61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E6D7CFD" w14:textId="77777777" w:rsidR="00940404" w:rsidRPr="000B619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0B6191">
              <w:rPr>
                <w:b/>
                <w:sz w:val="24"/>
                <w:szCs w:val="24"/>
              </w:rPr>
              <w:t>4</w:t>
            </w:r>
          </w:p>
        </w:tc>
      </w:tr>
      <w:bookmarkEnd w:id="7"/>
      <w:tr w:rsidR="00E91328" w:rsidRPr="000B6191" w14:paraId="7025CFE8" w14:textId="77777777" w:rsidTr="00E53DA6">
        <w:trPr>
          <w:trHeight w:val="889"/>
        </w:trPr>
        <w:tc>
          <w:tcPr>
            <w:tcW w:w="846" w:type="dxa"/>
            <w:shd w:val="clear" w:color="auto" w:fill="auto"/>
          </w:tcPr>
          <w:p w14:paraId="6ACD29D2" w14:textId="4A6FA9AD" w:rsidR="00E91328" w:rsidRPr="000B6191" w:rsidRDefault="00E91328" w:rsidP="00E9132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FAB" w14:textId="1AB2F411" w:rsidR="00E91328" w:rsidRPr="00165A1C" w:rsidRDefault="00FB6D5C" w:rsidP="00086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таблицы</w:t>
            </w:r>
            <w:r w:rsidR="007B531A" w:rsidRPr="007B53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14:paraId="78F96FFD" w14:textId="1CBAD29C" w:rsidR="00E91328" w:rsidRPr="000B6191" w:rsidRDefault="00E91328" w:rsidP="00E91328">
            <w:pPr>
              <w:rPr>
                <w:sz w:val="24"/>
                <w:szCs w:val="24"/>
              </w:rPr>
            </w:pPr>
            <w:r w:rsidRPr="000B6191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144A3A31" w14:textId="293A05FF" w:rsidR="00E91328" w:rsidRPr="00731F68" w:rsidRDefault="00FB6D5C" w:rsidP="000864CE">
            <w:pPr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</w:t>
            </w:r>
            <w:r w:rsidR="00BD5166" w:rsidRPr="000B619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465E9">
              <w:rPr>
                <w:rFonts w:eastAsia="Calibri"/>
                <w:sz w:val="24"/>
                <w:szCs w:val="24"/>
                <w:lang w:val="en-US" w:eastAsia="en-US"/>
              </w:rPr>
              <w:t>15</w:t>
            </w:r>
            <w:r w:rsidR="00E91328" w:rsidRPr="000B6191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BD5166" w:rsidRPr="000B6191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="000864CE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  <w:r w:rsidR="00E91328" w:rsidRPr="000B6191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="000864CE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731F68">
              <w:rPr>
                <w:rFonts w:eastAsia="Calibri"/>
                <w:sz w:val="24"/>
                <w:szCs w:val="24"/>
                <w:lang w:val="en-US" w:eastAsia="en-US"/>
              </w:rPr>
              <w:t>*</w:t>
            </w:r>
          </w:p>
        </w:tc>
      </w:tr>
    </w:tbl>
    <w:p w14:paraId="3AB3BA21" w14:textId="77777777" w:rsidR="007B531A" w:rsidRPr="007B531A" w:rsidRDefault="007B531A" w:rsidP="007B531A">
      <w:pPr>
        <w:suppressAutoHyphens/>
      </w:pPr>
      <w:bookmarkStart w:id="18" w:name="_Toc50125131"/>
      <w:r w:rsidRPr="007B531A">
        <w:rPr>
          <w:sz w:val="24"/>
        </w:rPr>
        <w:t>* данный срок установлен в соответствии с требованиями заключенного договора, указанного в пункте 1.2. Т</w:t>
      </w:r>
      <w:bookmarkStart w:id="19" w:name="_GoBack"/>
      <w:bookmarkEnd w:id="19"/>
      <w:r w:rsidRPr="007B531A">
        <w:rPr>
          <w:sz w:val="24"/>
        </w:rPr>
        <w:t>ехнических требований.</w:t>
      </w:r>
    </w:p>
    <w:p w14:paraId="0E2468E3" w14:textId="77777777" w:rsidR="00C47693" w:rsidRPr="000B6191" w:rsidRDefault="00C47693" w:rsidP="00C47693">
      <w:pPr>
        <w:rPr>
          <w:rFonts w:eastAsia="Calibri"/>
          <w:b/>
          <w:sz w:val="24"/>
          <w:szCs w:val="24"/>
          <w:lang w:eastAsia="x-none"/>
        </w:rPr>
        <w:sectPr w:rsidR="00C47693" w:rsidRPr="000B619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56EAC60C" w:rsidR="00251C6D" w:rsidRDefault="00251C6D" w:rsidP="00251C6D">
      <w:pPr>
        <w:pStyle w:val="4"/>
        <w:rPr>
          <w:lang w:val="ru-RU"/>
        </w:rPr>
      </w:pPr>
      <w:bookmarkStart w:id="20" w:name="_Toc46743511"/>
      <w:bookmarkStart w:id="21" w:name="_Toc75446581"/>
      <w:bookmarkStart w:id="22" w:name="_Toc51339698"/>
      <w:r w:rsidRPr="000B6191">
        <w:lastRenderedPageBreak/>
        <w:t xml:space="preserve">Требования к </w:t>
      </w:r>
      <w:bookmarkEnd w:id="20"/>
      <w:r w:rsidRPr="000B6191">
        <w:rPr>
          <w:lang w:val="ru-RU"/>
        </w:rPr>
        <w:t>качеству продукции</w:t>
      </w:r>
      <w:bookmarkEnd w:id="21"/>
    </w:p>
    <w:p w14:paraId="07BCA463" w14:textId="38F1B272" w:rsidR="00DD4BCC" w:rsidRPr="00DD4BCC" w:rsidRDefault="00DD4BCC" w:rsidP="00DD4BCC">
      <w:pPr>
        <w:rPr>
          <w:b/>
          <w:sz w:val="24"/>
          <w:szCs w:val="24"/>
          <w:lang w:eastAsia="x-none"/>
        </w:rPr>
      </w:pPr>
      <w:r w:rsidRPr="00DD4BCC">
        <w:rPr>
          <w:b/>
          <w:sz w:val="24"/>
          <w:szCs w:val="24"/>
          <w:lang w:eastAsia="x-none"/>
        </w:rPr>
        <w:t>Таблица 3. Требования к</w:t>
      </w:r>
      <w:r w:rsidR="00E53DA6">
        <w:rPr>
          <w:b/>
          <w:sz w:val="24"/>
          <w:szCs w:val="24"/>
          <w:lang w:val="en-US" w:eastAsia="x-none"/>
        </w:rPr>
        <w:t xml:space="preserve"> качеству</w:t>
      </w:r>
      <w:r w:rsidRPr="00DD4BCC">
        <w:rPr>
          <w:b/>
          <w:sz w:val="24"/>
          <w:szCs w:val="24"/>
          <w:lang w:eastAsia="x-none"/>
        </w:rPr>
        <w:t xml:space="preserve"> продукции</w:t>
      </w:r>
    </w:p>
    <w:bookmarkEnd w:id="18"/>
    <w:bookmarkEnd w:id="22"/>
    <w:p w14:paraId="3D692704" w14:textId="7FE5FD03" w:rsidR="007952B4" w:rsidRPr="00456B28" w:rsidRDefault="007952B4" w:rsidP="007952B4">
      <w:pPr>
        <w:jc w:val="both"/>
        <w:rPr>
          <w:rStyle w:val="afff6"/>
          <w:iCs/>
          <w:sz w:val="24"/>
          <w:shd w:val="clear" w:color="auto" w:fill="auto"/>
        </w:rPr>
      </w:pPr>
      <w:r w:rsidRPr="00471E9E">
        <w:rPr>
          <w:b/>
          <w:bCs/>
          <w:i/>
          <w:iCs/>
          <w:sz w:val="24"/>
          <w:szCs w:val="24"/>
        </w:rPr>
        <w:t>Н</w:t>
      </w:r>
      <w:r w:rsidR="006465E9">
        <w:rPr>
          <w:b/>
          <w:bCs/>
          <w:i/>
          <w:iCs/>
          <w:sz w:val="24"/>
          <w:szCs w:val="24"/>
        </w:rPr>
        <w:t>аименование продукции (</w:t>
      </w:r>
      <w:r w:rsidRPr="00471E9E">
        <w:rPr>
          <w:b/>
          <w:bCs/>
          <w:i/>
          <w:iCs/>
          <w:sz w:val="24"/>
          <w:szCs w:val="24"/>
        </w:rPr>
        <w:t>Таблицы 1</w:t>
      </w:r>
      <w:r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456B28">
        <w:rPr>
          <w:bCs/>
          <w:i/>
          <w:iCs/>
          <w:sz w:val="24"/>
          <w:szCs w:val="24"/>
        </w:rPr>
        <w:t>ОКПД2 27.90.33.110</w:t>
      </w:r>
      <w:r w:rsidR="00E53DA6" w:rsidRPr="00E53DA6">
        <w:rPr>
          <w:bCs/>
          <w:i/>
          <w:iCs/>
          <w:sz w:val="24"/>
          <w:szCs w:val="24"/>
        </w:rPr>
        <w:t xml:space="preserve"> Поставка запасных частей для нужд Дагестанского филиала АО «Гидроремонт-ВКК» в г. Махачкала</w:t>
      </w:r>
      <w:r w:rsidR="00456B28" w:rsidRPr="00456B28">
        <w:rPr>
          <w:bCs/>
          <w:i/>
          <w:iCs/>
          <w:sz w:val="24"/>
          <w:szCs w:val="24"/>
        </w:rPr>
        <w:t>.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30"/>
        <w:gridCol w:w="3540"/>
        <w:gridCol w:w="4325"/>
        <w:gridCol w:w="3002"/>
        <w:gridCol w:w="3105"/>
      </w:tblGrid>
      <w:tr w:rsidR="007952B4" w14:paraId="18283491" w14:textId="77777777" w:rsidTr="00503954">
        <w:trPr>
          <w:trHeight w:val="20"/>
        </w:trPr>
        <w:tc>
          <w:tcPr>
            <w:tcW w:w="248" w:type="pct"/>
            <w:vMerge w:val="restart"/>
            <w:vAlign w:val="center"/>
          </w:tcPr>
          <w:p w14:paraId="060A97ED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04" w:type="pct"/>
            <w:vMerge w:val="restart"/>
            <w:vAlign w:val="center"/>
          </w:tcPr>
          <w:p w14:paraId="5F731FE9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471" w:type="pct"/>
            <w:vMerge w:val="restart"/>
            <w:vAlign w:val="center"/>
          </w:tcPr>
          <w:p w14:paraId="5E9C0C0D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2077" w:type="pct"/>
            <w:gridSpan w:val="2"/>
            <w:vAlign w:val="center"/>
          </w:tcPr>
          <w:p w14:paraId="238749D5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7952B4" w14:paraId="00BADB15" w14:textId="77777777" w:rsidTr="00503954">
        <w:trPr>
          <w:trHeight w:val="20"/>
        </w:trPr>
        <w:tc>
          <w:tcPr>
            <w:tcW w:w="248" w:type="pct"/>
            <w:vMerge/>
            <w:vAlign w:val="center"/>
          </w:tcPr>
          <w:p w14:paraId="59755D64" w14:textId="77777777" w:rsidR="007952B4" w:rsidRPr="003A5FA8" w:rsidRDefault="007952B4" w:rsidP="003B29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pct"/>
            <w:vMerge/>
            <w:vAlign w:val="center"/>
          </w:tcPr>
          <w:p w14:paraId="068CA072" w14:textId="77777777" w:rsidR="007952B4" w:rsidRPr="003A5FA8" w:rsidRDefault="007952B4" w:rsidP="003B29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pct"/>
            <w:vMerge/>
            <w:vAlign w:val="center"/>
          </w:tcPr>
          <w:p w14:paraId="5BF3E418" w14:textId="77777777" w:rsidR="007952B4" w:rsidRPr="003A5FA8" w:rsidRDefault="007952B4" w:rsidP="003B29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</w:tcPr>
          <w:p w14:paraId="36824CC7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1056" w:type="pct"/>
            <w:vAlign w:val="center"/>
          </w:tcPr>
          <w:p w14:paraId="3FC842E3" w14:textId="77777777" w:rsidR="007952B4" w:rsidRPr="003A5FA8" w:rsidRDefault="007952B4" w:rsidP="003B296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952B4" w14:paraId="1A97F4C5" w14:textId="77777777" w:rsidTr="00503954">
        <w:trPr>
          <w:trHeight w:val="20"/>
        </w:trPr>
        <w:tc>
          <w:tcPr>
            <w:tcW w:w="248" w:type="pct"/>
            <w:vAlign w:val="center"/>
          </w:tcPr>
          <w:p w14:paraId="1B73553A" w14:textId="77777777" w:rsidR="007952B4" w:rsidRPr="001A13E2" w:rsidRDefault="007952B4" w:rsidP="003B296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4" w:type="pct"/>
            <w:vAlign w:val="center"/>
          </w:tcPr>
          <w:p w14:paraId="32994613" w14:textId="77777777" w:rsidR="007952B4" w:rsidRPr="001A13E2" w:rsidRDefault="007952B4" w:rsidP="003B2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1" w:type="pct"/>
            <w:vAlign w:val="center"/>
          </w:tcPr>
          <w:p w14:paraId="3D220821" w14:textId="77777777" w:rsidR="007952B4" w:rsidRPr="001A13E2" w:rsidRDefault="007952B4" w:rsidP="003B2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1" w:type="pct"/>
            <w:vAlign w:val="center"/>
          </w:tcPr>
          <w:p w14:paraId="5D9EA52D" w14:textId="77777777" w:rsidR="007952B4" w:rsidRPr="001A13E2" w:rsidRDefault="007952B4" w:rsidP="003B2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6" w:type="pct"/>
            <w:vAlign w:val="center"/>
          </w:tcPr>
          <w:p w14:paraId="2A33A6EF" w14:textId="77777777" w:rsidR="007952B4" w:rsidRPr="001A13E2" w:rsidRDefault="007952B4" w:rsidP="003B2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53DA6" w14:paraId="2C1A7A0F" w14:textId="77777777" w:rsidTr="00E53DA6">
        <w:trPr>
          <w:trHeight w:val="20"/>
        </w:trPr>
        <w:tc>
          <w:tcPr>
            <w:tcW w:w="248" w:type="pct"/>
            <w:vAlign w:val="center"/>
          </w:tcPr>
          <w:p w14:paraId="64B18B0F" w14:textId="7DD2A13C" w:rsidR="00E53DA6" w:rsidRPr="00E53DA6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675" w:type="pct"/>
            <w:gridSpan w:val="2"/>
            <w:vAlign w:val="center"/>
          </w:tcPr>
          <w:p w14:paraId="074909CC" w14:textId="36C34F63" w:rsidR="00E53DA6" w:rsidRDefault="00E53DA6" w:rsidP="00E53DA6">
            <w:pPr>
              <w:rPr>
                <w:b/>
                <w:sz w:val="24"/>
                <w:szCs w:val="24"/>
              </w:rPr>
            </w:pPr>
            <w:r w:rsidRPr="00C64A2A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021" w:type="pct"/>
            <w:vMerge w:val="restart"/>
          </w:tcPr>
          <w:p w14:paraId="18098DBC" w14:textId="4E2BC63D" w:rsidR="00E53DA6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A2161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056" w:type="pct"/>
            <w:vMerge w:val="restart"/>
          </w:tcPr>
          <w:p w14:paraId="6832375D" w14:textId="77777777" w:rsidR="00E53DA6" w:rsidRPr="001A13E2" w:rsidRDefault="00E53DA6" w:rsidP="00E53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14:paraId="418F28BC" w14:textId="77777777" w:rsidR="00E53DA6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53DA6" w14:paraId="329AD41B" w14:textId="77777777" w:rsidTr="00E53DA6">
        <w:trPr>
          <w:trHeight w:val="20"/>
        </w:trPr>
        <w:tc>
          <w:tcPr>
            <w:tcW w:w="248" w:type="pct"/>
            <w:vAlign w:val="center"/>
          </w:tcPr>
          <w:p w14:paraId="736EA001" w14:textId="6D4C6EB7" w:rsidR="00E53DA6" w:rsidRPr="00E53DA6" w:rsidRDefault="00E53DA6" w:rsidP="00E53DA6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E53DA6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2675" w:type="pct"/>
            <w:gridSpan w:val="2"/>
            <w:vAlign w:val="center"/>
          </w:tcPr>
          <w:p w14:paraId="0F1BEAC6" w14:textId="7DC94B59" w:rsidR="00E53DA6" w:rsidRPr="00E53DA6" w:rsidRDefault="00E53DA6" w:rsidP="00E53DA6">
            <w:pPr>
              <w:rPr>
                <w:sz w:val="24"/>
                <w:szCs w:val="24"/>
              </w:rPr>
            </w:pPr>
            <w:r w:rsidRPr="00C64A2A">
              <w:rPr>
                <w:sz w:val="24"/>
                <w:szCs w:val="24"/>
              </w:rPr>
              <w:t>Продукция в соответствии с Таблицей 1.1 Перечень объемов закупаемой продукции</w:t>
            </w:r>
          </w:p>
        </w:tc>
        <w:tc>
          <w:tcPr>
            <w:tcW w:w="1021" w:type="pct"/>
            <w:vMerge/>
            <w:vAlign w:val="center"/>
          </w:tcPr>
          <w:p w14:paraId="3D0A79AF" w14:textId="2071F0B3" w:rsidR="00E53DA6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55EAFA8D" w14:textId="77777777" w:rsidR="00E53DA6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53DA6" w14:paraId="66CF68F7" w14:textId="77777777" w:rsidTr="00503954">
        <w:trPr>
          <w:trHeight w:val="20"/>
        </w:trPr>
        <w:tc>
          <w:tcPr>
            <w:tcW w:w="248" w:type="pct"/>
            <w:vAlign w:val="center"/>
          </w:tcPr>
          <w:p w14:paraId="5295EA27" w14:textId="4F26135B" w:rsidR="00E53DA6" w:rsidRPr="007952B4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952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5" w:type="pct"/>
            <w:gridSpan w:val="2"/>
            <w:vAlign w:val="center"/>
          </w:tcPr>
          <w:p w14:paraId="726F4AC1" w14:textId="77777777" w:rsidR="00E53DA6" w:rsidRPr="00A73461" w:rsidRDefault="00E53DA6" w:rsidP="00E53DA6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5C44CA09" w14:textId="6467CBE1" w:rsidR="00E53DA6" w:rsidRPr="001A13E2" w:rsidRDefault="00E53DA6" w:rsidP="00E53DA6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1" w:type="pct"/>
            <w:vMerge/>
          </w:tcPr>
          <w:p w14:paraId="56079C60" w14:textId="3532BFF2" w:rsidR="00E53DA6" w:rsidRPr="00F405FD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0F706B41" w14:textId="77777777" w:rsidR="00E53DA6" w:rsidRPr="001A13E2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53DA6" w14:paraId="45265052" w14:textId="77777777" w:rsidTr="00503954">
        <w:trPr>
          <w:trHeight w:val="20"/>
        </w:trPr>
        <w:tc>
          <w:tcPr>
            <w:tcW w:w="248" w:type="pct"/>
            <w:vAlign w:val="center"/>
          </w:tcPr>
          <w:p w14:paraId="1FD60067" w14:textId="252B798D" w:rsidR="00E53DA6" w:rsidRPr="007952B4" w:rsidRDefault="00E53DA6" w:rsidP="00E53DA6">
            <w:pPr>
              <w:spacing w:before="60" w:after="60"/>
              <w:ind w:righ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52B4">
              <w:rPr>
                <w:sz w:val="24"/>
                <w:szCs w:val="24"/>
              </w:rPr>
              <w:t>.1</w:t>
            </w:r>
          </w:p>
        </w:tc>
        <w:tc>
          <w:tcPr>
            <w:tcW w:w="1204" w:type="pct"/>
          </w:tcPr>
          <w:p w14:paraId="6FDA2105" w14:textId="7D272C27" w:rsidR="00E53DA6" w:rsidRPr="00D07447" w:rsidRDefault="00E53DA6" w:rsidP="00E53DA6">
            <w:pPr>
              <w:jc w:val="center"/>
              <w:rPr>
                <w:sz w:val="24"/>
                <w:szCs w:val="24"/>
              </w:rPr>
            </w:pPr>
            <w:r w:rsidRPr="000C392C">
              <w:rPr>
                <w:sz w:val="24"/>
                <w:szCs w:val="24"/>
              </w:rPr>
              <w:t>Гарантия</w:t>
            </w:r>
          </w:p>
        </w:tc>
        <w:tc>
          <w:tcPr>
            <w:tcW w:w="1471" w:type="pct"/>
          </w:tcPr>
          <w:p w14:paraId="1E31A019" w14:textId="7311D859" w:rsidR="00E53DA6" w:rsidRPr="007952B4" w:rsidRDefault="00E53DA6" w:rsidP="00E53DA6">
            <w:r w:rsidRPr="000B6191">
              <w:rPr>
                <w:sz w:val="24"/>
                <w:szCs w:val="24"/>
                <w:lang w:eastAsia="x-none"/>
              </w:rPr>
              <w:t xml:space="preserve">Поставщик обязан установить на продукцию гарантийный срок </w:t>
            </w:r>
            <w:r>
              <w:rPr>
                <w:sz w:val="24"/>
                <w:szCs w:val="24"/>
                <w:lang w:eastAsia="x-none"/>
              </w:rPr>
              <w:t>36 (тридцать шесть</w:t>
            </w:r>
            <w:r w:rsidRPr="000B6191">
              <w:rPr>
                <w:sz w:val="24"/>
                <w:szCs w:val="24"/>
                <w:lang w:eastAsia="x-none"/>
              </w:rPr>
              <w:t>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1021" w:type="pct"/>
            <w:vMerge/>
          </w:tcPr>
          <w:p w14:paraId="70D7AC7B" w14:textId="77777777" w:rsidR="00E53DA6" w:rsidRPr="00F41B32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1D00DCE0" w14:textId="77777777" w:rsidR="00E53DA6" w:rsidRPr="00F41B32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6A77F0" w14:paraId="59C4E34E" w14:textId="77777777" w:rsidTr="006A77F0">
        <w:trPr>
          <w:trHeight w:val="20"/>
        </w:trPr>
        <w:tc>
          <w:tcPr>
            <w:tcW w:w="248" w:type="pct"/>
            <w:vAlign w:val="center"/>
          </w:tcPr>
          <w:p w14:paraId="10A7D47E" w14:textId="092D0160" w:rsidR="006A77F0" w:rsidRPr="006A77F0" w:rsidRDefault="006A77F0" w:rsidP="00E53DA6">
            <w:pPr>
              <w:spacing w:before="60" w:after="60"/>
              <w:ind w:right="-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2675" w:type="pct"/>
            <w:gridSpan w:val="2"/>
          </w:tcPr>
          <w:p w14:paraId="4DF9B248" w14:textId="03E43D40" w:rsidR="006A77F0" w:rsidRPr="006A77F0" w:rsidRDefault="006A77F0" w:rsidP="00E53DA6">
            <w:pPr>
              <w:rPr>
                <w:sz w:val="24"/>
                <w:szCs w:val="24"/>
                <w:lang w:eastAsia="x-none"/>
              </w:rPr>
            </w:pPr>
            <w:r w:rsidRPr="006A77F0"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021" w:type="pct"/>
            <w:vMerge/>
          </w:tcPr>
          <w:p w14:paraId="7F395A48" w14:textId="77777777" w:rsidR="006A77F0" w:rsidRPr="00F41B32" w:rsidRDefault="006A77F0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6496C19" w14:textId="77777777" w:rsidR="006A77F0" w:rsidRPr="00F41B32" w:rsidRDefault="006A77F0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53DA6" w14:paraId="43890B9B" w14:textId="77777777" w:rsidTr="00503954">
        <w:trPr>
          <w:trHeight w:val="20"/>
        </w:trPr>
        <w:tc>
          <w:tcPr>
            <w:tcW w:w="248" w:type="pct"/>
            <w:vAlign w:val="center"/>
          </w:tcPr>
          <w:p w14:paraId="69E4368C" w14:textId="044E29CB" w:rsidR="00E53DA6" w:rsidRPr="007952B4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952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5" w:type="pct"/>
            <w:gridSpan w:val="2"/>
            <w:vAlign w:val="center"/>
          </w:tcPr>
          <w:p w14:paraId="730D941D" w14:textId="77777777" w:rsidR="00E53DA6" w:rsidRPr="00C36F30" w:rsidRDefault="00E53DA6" w:rsidP="00E53DA6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021" w:type="pct"/>
            <w:vMerge/>
          </w:tcPr>
          <w:p w14:paraId="6AF81504" w14:textId="77777777" w:rsidR="00E53DA6" w:rsidRPr="00C36F30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4A4B3DA7" w14:textId="77777777" w:rsidR="00E53DA6" w:rsidRPr="00C36F30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53DA6" w14:paraId="5D6674DE" w14:textId="77777777" w:rsidTr="00503954">
        <w:trPr>
          <w:trHeight w:val="20"/>
        </w:trPr>
        <w:tc>
          <w:tcPr>
            <w:tcW w:w="248" w:type="pct"/>
            <w:vAlign w:val="center"/>
          </w:tcPr>
          <w:p w14:paraId="7B8F0E46" w14:textId="78ED9165" w:rsidR="00E53DA6" w:rsidRPr="007952B4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52B4">
              <w:rPr>
                <w:sz w:val="24"/>
                <w:szCs w:val="24"/>
              </w:rPr>
              <w:t>.1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E2CE09" w14:textId="7656C0FD" w:rsidR="00E53DA6" w:rsidRPr="00B34B1D" w:rsidRDefault="00E53DA6" w:rsidP="00E53DA6">
            <w:pPr>
              <w:rPr>
                <w:sz w:val="24"/>
                <w:szCs w:val="24"/>
              </w:rPr>
            </w:pPr>
            <w:r w:rsidRPr="00B34B1D">
              <w:rPr>
                <w:sz w:val="24"/>
                <w:szCs w:val="24"/>
              </w:rPr>
              <w:t xml:space="preserve">Сертификат соответствия </w:t>
            </w:r>
          </w:p>
        </w:tc>
        <w:tc>
          <w:tcPr>
            <w:tcW w:w="147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0A0179" w14:textId="1B988E4A" w:rsidR="00E53DA6" w:rsidRPr="007952B4" w:rsidRDefault="00E53DA6" w:rsidP="00E53DA6">
            <w:pPr>
              <w:pStyle w:val="aff5"/>
              <w:numPr>
                <w:ilvl w:val="0"/>
                <w:numId w:val="27"/>
              </w:numPr>
              <w:jc w:val="center"/>
            </w:pPr>
            <w:r w:rsidRPr="007952B4">
              <w:t>шт.</w:t>
            </w:r>
          </w:p>
        </w:tc>
        <w:tc>
          <w:tcPr>
            <w:tcW w:w="1021" w:type="pct"/>
            <w:vMerge/>
          </w:tcPr>
          <w:p w14:paraId="00E74C96" w14:textId="77777777" w:rsidR="00E53DA6" w:rsidRPr="00F41B32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4471D0DD" w14:textId="77777777" w:rsidR="00E53DA6" w:rsidRPr="00F41B32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53DA6" w:rsidRPr="00C36F30" w14:paraId="0E770722" w14:textId="77777777" w:rsidTr="00503954">
        <w:trPr>
          <w:trHeight w:val="20"/>
        </w:trPr>
        <w:tc>
          <w:tcPr>
            <w:tcW w:w="248" w:type="pct"/>
            <w:vAlign w:val="center"/>
          </w:tcPr>
          <w:p w14:paraId="3E9E51FF" w14:textId="44326417" w:rsidR="00E53DA6" w:rsidRPr="007952B4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7952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5" w:type="pct"/>
            <w:gridSpan w:val="2"/>
            <w:vAlign w:val="center"/>
          </w:tcPr>
          <w:p w14:paraId="5ABC8C4F" w14:textId="77777777" w:rsidR="00E53DA6" w:rsidRPr="00C36F30" w:rsidRDefault="00E53DA6" w:rsidP="00E53DA6">
            <w:pPr>
              <w:spacing w:before="60" w:after="60"/>
              <w:rPr>
                <w:b/>
                <w:sz w:val="24"/>
                <w:szCs w:val="24"/>
              </w:rPr>
            </w:pPr>
            <w:r w:rsidRPr="009155BF">
              <w:rPr>
                <w:b/>
                <w:sz w:val="24"/>
                <w:szCs w:val="24"/>
              </w:rPr>
              <w:t>Требование к месту поставки</w:t>
            </w:r>
          </w:p>
        </w:tc>
        <w:tc>
          <w:tcPr>
            <w:tcW w:w="1021" w:type="pct"/>
            <w:vMerge/>
          </w:tcPr>
          <w:p w14:paraId="0E5FA964" w14:textId="77777777" w:rsidR="00E53DA6" w:rsidRPr="00C36F30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06F20A05" w14:textId="77777777" w:rsidR="00E53DA6" w:rsidRPr="00C36F30" w:rsidRDefault="00E53DA6" w:rsidP="00E53D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53DA6" w14:paraId="07346718" w14:textId="77777777" w:rsidTr="00503954">
        <w:trPr>
          <w:trHeight w:val="20"/>
        </w:trPr>
        <w:tc>
          <w:tcPr>
            <w:tcW w:w="248" w:type="pct"/>
            <w:vAlign w:val="center"/>
          </w:tcPr>
          <w:p w14:paraId="0759685D" w14:textId="7DA50790" w:rsidR="00E53DA6" w:rsidRPr="007952B4" w:rsidRDefault="00E53DA6" w:rsidP="00E53DA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952B4">
              <w:rPr>
                <w:sz w:val="24"/>
                <w:szCs w:val="24"/>
              </w:rPr>
              <w:t>.1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05766E" w14:textId="52DB2FF5" w:rsidR="00E53DA6" w:rsidRDefault="00E53DA6" w:rsidP="00FE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поставки позиции 1-</w:t>
            </w:r>
            <w:r w:rsidR="006465E9">
              <w:rPr>
                <w:sz w:val="24"/>
                <w:szCs w:val="24"/>
              </w:rPr>
              <w:t xml:space="preserve">44 </w:t>
            </w:r>
            <w:r w:rsidRPr="0053404A">
              <w:rPr>
                <w:sz w:val="24"/>
                <w:szCs w:val="24"/>
              </w:rPr>
              <w:t>согласно таблицы1.1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9D07BE" w14:textId="77777777" w:rsidR="00E53DA6" w:rsidRPr="009155BF" w:rsidRDefault="00E53DA6" w:rsidP="00E53DA6">
            <w:pPr>
              <w:jc w:val="center"/>
              <w:rPr>
                <w:sz w:val="24"/>
                <w:szCs w:val="24"/>
              </w:rPr>
            </w:pPr>
            <w:r w:rsidRPr="009155BF">
              <w:rPr>
                <w:sz w:val="24"/>
                <w:szCs w:val="24"/>
              </w:rPr>
              <w:t xml:space="preserve">368948 Республика Дагестан, </w:t>
            </w:r>
          </w:p>
          <w:p w14:paraId="4B3EDD30" w14:textId="77777777" w:rsidR="00E53DA6" w:rsidRDefault="00E53DA6" w:rsidP="00E53DA6">
            <w:pPr>
              <w:jc w:val="center"/>
              <w:rPr>
                <w:sz w:val="24"/>
                <w:szCs w:val="24"/>
              </w:rPr>
            </w:pPr>
            <w:r w:rsidRPr="009155BF">
              <w:rPr>
                <w:sz w:val="24"/>
                <w:szCs w:val="24"/>
              </w:rPr>
              <w:t>УНЦУКУЛЬСКИЙ Р-Н,ШАМИЛЬКАЛИНСКОЕ,РП ШАМИЛЬКАЛА/ Ирганайская ГЭС</w:t>
            </w:r>
          </w:p>
        </w:tc>
        <w:tc>
          <w:tcPr>
            <w:tcW w:w="1021" w:type="pct"/>
            <w:vMerge/>
          </w:tcPr>
          <w:p w14:paraId="45B85A1F" w14:textId="77777777" w:rsidR="00E53DA6" w:rsidRDefault="00E53DA6" w:rsidP="00E5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4C662F61" w14:textId="77777777" w:rsidR="00E53DA6" w:rsidRDefault="00E53DA6" w:rsidP="00E53DA6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1254CC56" w14:textId="77777777" w:rsidTr="00503954">
        <w:trPr>
          <w:trHeight w:val="20"/>
        </w:trPr>
        <w:tc>
          <w:tcPr>
            <w:tcW w:w="248" w:type="pct"/>
            <w:vAlign w:val="center"/>
          </w:tcPr>
          <w:p w14:paraId="7235AB73" w14:textId="0ABE7EE5" w:rsidR="006465E9" w:rsidRPr="006465E9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FF45EE" w14:textId="77750D79" w:rsidR="006465E9" w:rsidRDefault="006465E9" w:rsidP="00646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поставки позиции 45-57 </w:t>
            </w:r>
            <w:r w:rsidRPr="0053404A">
              <w:rPr>
                <w:sz w:val="24"/>
                <w:szCs w:val="24"/>
              </w:rPr>
              <w:t>согласно таблицы1.1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67145C" w14:textId="77777777" w:rsidR="006465E9" w:rsidRPr="009155BF" w:rsidRDefault="006465E9" w:rsidP="006465E9">
            <w:pPr>
              <w:jc w:val="center"/>
              <w:rPr>
                <w:sz w:val="24"/>
                <w:szCs w:val="24"/>
              </w:rPr>
            </w:pPr>
            <w:r w:rsidRPr="009155BF">
              <w:rPr>
                <w:sz w:val="24"/>
                <w:szCs w:val="24"/>
              </w:rPr>
              <w:t xml:space="preserve">368948 Республика Дагестан, </w:t>
            </w:r>
          </w:p>
          <w:p w14:paraId="4F2A6558" w14:textId="6B5534AD" w:rsidR="006465E9" w:rsidRPr="00B02CD1" w:rsidRDefault="00B02CD1" w:rsidP="00B02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Кизилюртовс</w:t>
            </w:r>
            <w:r w:rsidRPr="00B02CD1">
              <w:rPr>
                <w:sz w:val="24"/>
                <w:szCs w:val="24"/>
              </w:rPr>
              <w:t xml:space="preserve">кий район </w:t>
            </w:r>
            <w:r w:rsidR="006465E9" w:rsidRPr="009155BF">
              <w:rPr>
                <w:sz w:val="24"/>
                <w:szCs w:val="24"/>
              </w:rPr>
              <w:t>,</w:t>
            </w:r>
            <w:r w:rsidRPr="00B02CD1">
              <w:rPr>
                <w:sz w:val="24"/>
                <w:szCs w:val="24"/>
              </w:rPr>
              <w:t>пос</w:t>
            </w:r>
            <w:r w:rsidR="00456B28" w:rsidRPr="00456B28">
              <w:rPr>
                <w:sz w:val="24"/>
                <w:szCs w:val="24"/>
              </w:rPr>
              <w:t>.</w:t>
            </w:r>
            <w:r w:rsidRPr="00B02CD1">
              <w:rPr>
                <w:sz w:val="24"/>
                <w:szCs w:val="24"/>
              </w:rPr>
              <w:t xml:space="preserve"> Бавтугай</w:t>
            </w:r>
            <w:r>
              <w:rPr>
                <w:sz w:val="24"/>
                <w:szCs w:val="24"/>
              </w:rPr>
              <w:t xml:space="preserve"> </w:t>
            </w:r>
            <w:r w:rsidRPr="00B02CD1">
              <w:rPr>
                <w:sz w:val="24"/>
                <w:szCs w:val="24"/>
              </w:rPr>
              <w:t xml:space="preserve">Чирюртская </w:t>
            </w:r>
            <w:r w:rsidR="006465E9" w:rsidRPr="009155BF">
              <w:rPr>
                <w:sz w:val="24"/>
                <w:szCs w:val="24"/>
              </w:rPr>
              <w:t xml:space="preserve"> ГЭС</w:t>
            </w:r>
            <w:r w:rsidRPr="00B02CD1">
              <w:rPr>
                <w:sz w:val="24"/>
                <w:szCs w:val="24"/>
              </w:rPr>
              <w:t>-1</w:t>
            </w:r>
          </w:p>
        </w:tc>
        <w:tc>
          <w:tcPr>
            <w:tcW w:w="1021" w:type="pct"/>
            <w:vMerge/>
          </w:tcPr>
          <w:p w14:paraId="287ECF6A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23E7E54F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57270F3D" w14:textId="77777777" w:rsidTr="00E53DA6">
        <w:trPr>
          <w:trHeight w:val="20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BFC1211" w14:textId="176EC0DD" w:rsidR="006465E9" w:rsidRPr="007828D1" w:rsidRDefault="006465E9" w:rsidP="006465E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7828D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B01343" w14:textId="47A13909" w:rsidR="006465E9" w:rsidRPr="00DC2064" w:rsidRDefault="006465E9" w:rsidP="006465E9">
            <w:pPr>
              <w:rPr>
                <w:b/>
                <w:sz w:val="24"/>
                <w:szCs w:val="24"/>
              </w:rPr>
            </w:pPr>
            <w:r w:rsidRPr="007828D1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021" w:type="pct"/>
            <w:vMerge/>
          </w:tcPr>
          <w:p w14:paraId="0B56EFB7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2137077D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4AAE2BDB" w14:textId="77777777" w:rsidTr="00E53DA6">
        <w:trPr>
          <w:trHeight w:val="20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09E5D0F5" w14:textId="28A057ED" w:rsidR="006465E9" w:rsidRPr="00456B28" w:rsidRDefault="006465E9" w:rsidP="006465E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56B28">
              <w:rPr>
                <w:sz w:val="24"/>
                <w:szCs w:val="24"/>
              </w:rPr>
              <w:t>5.1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8DFBE7" w14:textId="16886B51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 (стандартами, техническими требованиями и регламентами), действующими в Российской Федерации.</w:t>
            </w:r>
          </w:p>
        </w:tc>
        <w:tc>
          <w:tcPr>
            <w:tcW w:w="1021" w:type="pct"/>
            <w:vMerge/>
          </w:tcPr>
          <w:p w14:paraId="7205AFE5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F39E25E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0618CF81" w14:textId="77777777" w:rsidTr="006A77F0">
        <w:trPr>
          <w:trHeight w:val="1047"/>
        </w:trPr>
        <w:tc>
          <w:tcPr>
            <w:tcW w:w="248" w:type="pct"/>
            <w:vAlign w:val="center"/>
          </w:tcPr>
          <w:p w14:paraId="7433851F" w14:textId="523A07AD" w:rsidR="006465E9" w:rsidRPr="00503954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5.2.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7786E90C" w14:textId="417F5EC1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Предлагаемая продукция должна соответствовать по всем параметрам и требованиям к продукции, указанной в Спецификации и в настоящих Технических требованиях, а равно требованиям, предусмотренных законодательством Российской Федерации</w:t>
            </w:r>
          </w:p>
        </w:tc>
        <w:tc>
          <w:tcPr>
            <w:tcW w:w="1021" w:type="pct"/>
            <w:vMerge/>
          </w:tcPr>
          <w:p w14:paraId="0DA77C0E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6D4EE0F4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41468AF4" w14:textId="77777777" w:rsidTr="00503954">
        <w:trPr>
          <w:trHeight w:val="20"/>
        </w:trPr>
        <w:tc>
          <w:tcPr>
            <w:tcW w:w="248" w:type="pct"/>
            <w:vAlign w:val="center"/>
          </w:tcPr>
          <w:p w14:paraId="442CA02C" w14:textId="6C3176AD" w:rsidR="006465E9" w:rsidRPr="00503954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098B4D" w14:textId="4E994408" w:rsidR="006465E9" w:rsidRPr="007828D1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 xml:space="preserve">Покупателем чертежи и конструкторская документация на продукцию не предоставляются, разработчиком чертежей являются АО "Турбоатом", </w:t>
            </w:r>
            <w:r w:rsidR="002023B4">
              <w:rPr>
                <w:sz w:val="24"/>
                <w:szCs w:val="24"/>
              </w:rPr>
              <w:t>Г</w:t>
            </w:r>
            <w:r w:rsidRPr="00503954">
              <w:rPr>
                <w:sz w:val="24"/>
                <w:szCs w:val="24"/>
              </w:rPr>
              <w:t>. Победитель обязан самостоятельно урегулировать с третьими лицами все вопросы необходимости использования прав третьих лиц на охраняемые результаты интеллектуальной деятельности и на средства индивидуализации при производстве Победителем продукции. Продукция должна не нарушать права третьих лиц на охраняемые результат интеллектуальной деятельности и на средства индивидуализации</w:t>
            </w:r>
          </w:p>
        </w:tc>
        <w:tc>
          <w:tcPr>
            <w:tcW w:w="1021" w:type="pct"/>
            <w:vMerge/>
          </w:tcPr>
          <w:p w14:paraId="2C320894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167FD622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44721692" w14:textId="77777777" w:rsidTr="00503954">
        <w:trPr>
          <w:trHeight w:val="20"/>
        </w:trPr>
        <w:tc>
          <w:tcPr>
            <w:tcW w:w="248" w:type="pct"/>
            <w:vAlign w:val="center"/>
          </w:tcPr>
          <w:p w14:paraId="687EFD44" w14:textId="58085FF5" w:rsidR="006465E9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C71196" w14:textId="5CE0AC73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Победитель гарантирует предварительно самостоятельно и за свой счет урегулировать с правообладателями прав на охраняемые результат интеллектуальной деятельности и на средства индивидуализации все вопросы связанные с использованием прав третьих лиц на охраняемые результаты интеллектуальной деятельности и средства индивидуализации в случае необходимости их использования при производстве продукции</w:t>
            </w:r>
          </w:p>
        </w:tc>
        <w:tc>
          <w:tcPr>
            <w:tcW w:w="1021" w:type="pct"/>
            <w:vMerge/>
          </w:tcPr>
          <w:p w14:paraId="71FA994E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35D8423E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6F2752ED" w14:textId="77777777" w:rsidTr="00503954">
        <w:trPr>
          <w:trHeight w:val="20"/>
        </w:trPr>
        <w:tc>
          <w:tcPr>
            <w:tcW w:w="248" w:type="pct"/>
            <w:vAlign w:val="center"/>
          </w:tcPr>
          <w:p w14:paraId="2778A56B" w14:textId="010CCF31" w:rsidR="006465E9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6EB7E9" w14:textId="2F10D388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 xml:space="preserve">Победителем, а также по первому требованию Покупателя в течение 3 (трех) рабочих дней предоставить документы, подтверждающие соблюдение прав третьих лиц на охраняемые результаты </w:t>
            </w:r>
            <w:r w:rsidRPr="00503954">
              <w:rPr>
                <w:sz w:val="24"/>
                <w:szCs w:val="24"/>
              </w:rPr>
              <w:lastRenderedPageBreak/>
              <w:t>интеллектуальной деятельности и на средства индивидуализации, а равно документы, подтверждающие законность использования Победителем прав третьих лиц на охраняемые результаты интеллектуальной деятельности и на средства индивидуализации при производстве и введении в гражданский оборот продукции, произведенной Победителем</w:t>
            </w:r>
          </w:p>
        </w:tc>
        <w:tc>
          <w:tcPr>
            <w:tcW w:w="1021" w:type="pct"/>
            <w:vMerge/>
          </w:tcPr>
          <w:p w14:paraId="64924EC4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BE4AF56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1191BBE6" w14:textId="77777777" w:rsidTr="00503954">
        <w:trPr>
          <w:trHeight w:val="20"/>
        </w:trPr>
        <w:tc>
          <w:tcPr>
            <w:tcW w:w="248" w:type="pct"/>
            <w:vAlign w:val="center"/>
          </w:tcPr>
          <w:p w14:paraId="1A49A7B2" w14:textId="6C48DDD5" w:rsidR="006465E9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5.6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B30E4A" w14:textId="226AF2D5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В случае поступления каких-либо претензий, требований, исков в адрес Покупателя от любых третьих лиц в отношении результатов интеллектуальной деятельности и средств индивидуализации, в том числе от любых иных лиц чьи права на результаты интеллектуальной деятельности были нарушены и (или) могли быть нарушены Победитель обязуется незамедлительно после получения соответствующего сообщения от Покупателя в полном объёме  урегулировать с этими третьими лицами все вышеуказанные претензии, требования, исковые требования своими силами и за свой счет. В случае нарушения данного условия Победитель обязан возместить Покупателю в полном объеме все понесенные Покупателем убытки в течение 3 (трех) рабочих дней с момента предъявления соответствующего требования Покупателя</w:t>
            </w:r>
          </w:p>
        </w:tc>
        <w:tc>
          <w:tcPr>
            <w:tcW w:w="1021" w:type="pct"/>
            <w:vMerge/>
          </w:tcPr>
          <w:p w14:paraId="6E37F051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730B3F8B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1ADC1106" w14:textId="77777777" w:rsidTr="00503954">
        <w:trPr>
          <w:trHeight w:val="20"/>
        </w:trPr>
        <w:tc>
          <w:tcPr>
            <w:tcW w:w="248" w:type="pct"/>
            <w:vAlign w:val="center"/>
          </w:tcPr>
          <w:p w14:paraId="485A04F9" w14:textId="52B2A109" w:rsidR="006465E9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5.7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7D91B5" w14:textId="1CF2638D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Перед началом изготовления продукции Победитель обязан направить на согласование чертежи на изготовляемую продукции</w:t>
            </w:r>
          </w:p>
        </w:tc>
        <w:tc>
          <w:tcPr>
            <w:tcW w:w="1021" w:type="pct"/>
            <w:vMerge/>
          </w:tcPr>
          <w:p w14:paraId="2C4BB102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6ED274E9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17A97C58" w14:textId="77777777" w:rsidTr="00503954">
        <w:trPr>
          <w:trHeight w:val="20"/>
        </w:trPr>
        <w:tc>
          <w:tcPr>
            <w:tcW w:w="248" w:type="pct"/>
            <w:vAlign w:val="center"/>
          </w:tcPr>
          <w:p w14:paraId="5FD32513" w14:textId="49E732DF" w:rsidR="006465E9" w:rsidRPr="00503954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4234C0" w14:textId="07251B6E" w:rsidR="006465E9" w:rsidRPr="00503954" w:rsidRDefault="006465E9" w:rsidP="006465E9">
            <w:pPr>
              <w:rPr>
                <w:sz w:val="24"/>
                <w:szCs w:val="24"/>
              </w:rPr>
            </w:pPr>
            <w:r w:rsidRPr="00503954">
              <w:rPr>
                <w:sz w:val="24"/>
                <w:szCs w:val="24"/>
              </w:rPr>
              <w:t>Все поставляемые запасные части и комплектующие относящиеся к запасным частям первой категории в соответствии с СТО РусГидро 02.03.107-2013 “ Гидроэлектростанции. неразрушающий контроль крепёжных элементов ответственных узлов гидроагрегатов. методические указания” п. п. 5.1-5.5 (приложение №1 к ТТ) должны пройти входной контроль у специализированной организации АНО “Союзэкспертиза” ТПП РФ. П</w:t>
            </w:r>
            <w:r w:rsidR="00456B28">
              <w:rPr>
                <w:sz w:val="24"/>
                <w:szCs w:val="24"/>
              </w:rPr>
              <w:t>риемка запасных частей первой ка</w:t>
            </w:r>
            <w:r w:rsidRPr="00503954">
              <w:rPr>
                <w:sz w:val="24"/>
                <w:szCs w:val="24"/>
              </w:rPr>
              <w:t>тегории Покупателем будет осуществляется только при наличии соответствующего документа АНО “Союзэкспертиза” ТПП РФ. Стоимость услуг АНО “Союзэкспертиза” ТПП РФ должна быть учтена в коммерческом предложении участника закупочной процедуры</w:t>
            </w:r>
          </w:p>
        </w:tc>
        <w:tc>
          <w:tcPr>
            <w:tcW w:w="1021" w:type="pct"/>
            <w:vMerge/>
          </w:tcPr>
          <w:p w14:paraId="00EE8458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957C83C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000FBF36" w14:textId="77777777" w:rsidTr="00503954">
        <w:trPr>
          <w:trHeight w:val="20"/>
        </w:trPr>
        <w:tc>
          <w:tcPr>
            <w:tcW w:w="248" w:type="pct"/>
            <w:vAlign w:val="center"/>
          </w:tcPr>
          <w:p w14:paraId="1608C8BD" w14:textId="54C60BED" w:rsidR="006465E9" w:rsidRPr="00E53DA6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5.9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09C1B1" w14:textId="3894A8BE" w:rsidR="006465E9" w:rsidRPr="007828D1" w:rsidRDefault="006465E9" w:rsidP="006465E9">
            <w:pPr>
              <w:rPr>
                <w:sz w:val="24"/>
                <w:szCs w:val="24"/>
              </w:rPr>
            </w:pPr>
            <w:r w:rsidRPr="007828D1"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1021" w:type="pct"/>
            <w:vMerge/>
          </w:tcPr>
          <w:p w14:paraId="135884A3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45E512D1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584723A8" w14:textId="77777777" w:rsidTr="00503954">
        <w:trPr>
          <w:trHeight w:val="20"/>
        </w:trPr>
        <w:tc>
          <w:tcPr>
            <w:tcW w:w="248" w:type="pct"/>
            <w:vAlign w:val="center"/>
          </w:tcPr>
          <w:p w14:paraId="5C626B39" w14:textId="007DACE3" w:rsidR="006465E9" w:rsidRPr="00E53DA6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5.10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B851B5" w14:textId="1902D35A" w:rsidR="006465E9" w:rsidRPr="007828D1" w:rsidRDefault="006465E9" w:rsidP="006465E9">
            <w:pPr>
              <w:rPr>
                <w:sz w:val="24"/>
                <w:szCs w:val="24"/>
              </w:rPr>
            </w:pPr>
            <w:r w:rsidRPr="007828D1">
              <w:rPr>
                <w:sz w:val="24"/>
                <w:szCs w:val="24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</w:t>
            </w:r>
          </w:p>
        </w:tc>
        <w:tc>
          <w:tcPr>
            <w:tcW w:w="1021" w:type="pct"/>
            <w:vMerge/>
          </w:tcPr>
          <w:p w14:paraId="28236B17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71D01F21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  <w:tr w:rsidR="006465E9" w14:paraId="474714FB" w14:textId="77777777" w:rsidTr="00503954">
        <w:trPr>
          <w:trHeight w:val="20"/>
        </w:trPr>
        <w:tc>
          <w:tcPr>
            <w:tcW w:w="248" w:type="pct"/>
            <w:vAlign w:val="center"/>
          </w:tcPr>
          <w:p w14:paraId="2B79B609" w14:textId="5B63ADDA" w:rsidR="006465E9" w:rsidRPr="00E53DA6" w:rsidRDefault="006465E9" w:rsidP="006465E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5.11</w:t>
            </w:r>
          </w:p>
        </w:tc>
        <w:tc>
          <w:tcPr>
            <w:tcW w:w="2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493502" w14:textId="4A989319" w:rsidR="006465E9" w:rsidRPr="007828D1" w:rsidRDefault="006465E9" w:rsidP="006465E9">
            <w:pPr>
              <w:rPr>
                <w:sz w:val="24"/>
                <w:szCs w:val="24"/>
              </w:rPr>
            </w:pPr>
            <w:r w:rsidRPr="007828D1"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</w:t>
            </w:r>
          </w:p>
        </w:tc>
        <w:tc>
          <w:tcPr>
            <w:tcW w:w="1021" w:type="pct"/>
            <w:vMerge/>
          </w:tcPr>
          <w:p w14:paraId="4E838157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2605CAF0" w14:textId="77777777" w:rsidR="006465E9" w:rsidRDefault="006465E9" w:rsidP="006465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259EC0" w14:textId="77777777" w:rsidR="007952B4" w:rsidRDefault="007952B4" w:rsidP="000C392C">
      <w:pPr>
        <w:rPr>
          <w:sz w:val="24"/>
          <w:szCs w:val="24"/>
          <w:lang w:eastAsia="x-none"/>
        </w:rPr>
      </w:pPr>
    </w:p>
    <w:p w14:paraId="5056199E" w14:textId="29DC1999" w:rsidR="00FB6D5C" w:rsidRPr="0054141B" w:rsidRDefault="00503954" w:rsidP="00FB6D5C">
      <w:pPr>
        <w:tabs>
          <w:tab w:val="left" w:pos="851"/>
        </w:tabs>
        <w:autoSpaceDE w:val="0"/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B6D5C">
        <w:rPr>
          <w:b/>
          <w:sz w:val="24"/>
          <w:szCs w:val="24"/>
        </w:rPr>
        <w:t>.          </w:t>
      </w:r>
      <w:r w:rsidR="00FB6D5C" w:rsidRPr="0054141B">
        <w:rPr>
          <w:b/>
          <w:sz w:val="24"/>
          <w:szCs w:val="24"/>
        </w:rPr>
        <w:t>Требования к документации по ценообразованию на этапе закупки.</w:t>
      </w:r>
    </w:p>
    <w:p w14:paraId="12219CB1" w14:textId="78DFAE4E" w:rsidR="00FB6D5C" w:rsidRPr="0054141B" w:rsidRDefault="00503954" w:rsidP="00FB6D5C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FB6D5C" w:rsidRPr="0054141B">
        <w:rPr>
          <w:sz w:val="24"/>
          <w:szCs w:val="24"/>
        </w:rPr>
        <w:t>.1.       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1162A1CD" w14:textId="6963E1EC" w:rsidR="00FB6D5C" w:rsidRPr="000B6191" w:rsidRDefault="00503954" w:rsidP="00FB6D5C">
      <w:pPr>
        <w:rPr>
          <w:sz w:val="24"/>
          <w:szCs w:val="24"/>
          <w:lang w:eastAsia="x-none"/>
        </w:rPr>
      </w:pPr>
      <w:r>
        <w:rPr>
          <w:sz w:val="24"/>
          <w:szCs w:val="24"/>
        </w:rPr>
        <w:t>3</w:t>
      </w:r>
      <w:r w:rsidR="00FB6D5C" w:rsidRPr="0054141B">
        <w:rPr>
          <w:sz w:val="24"/>
          <w:szCs w:val="24"/>
        </w:rPr>
        <w:t>.2.        Дополнительные документы по ценообразованию в состав заявки не включаются</w:t>
      </w:r>
      <w:r w:rsidR="00FB6D5C">
        <w:rPr>
          <w:sz w:val="24"/>
          <w:szCs w:val="24"/>
        </w:rPr>
        <w:t>.</w:t>
      </w:r>
    </w:p>
    <w:p w14:paraId="5415E4AE" w14:textId="694093E9" w:rsidR="00B34B1D" w:rsidRDefault="00B34B1D" w:rsidP="00D82E6E">
      <w:pPr>
        <w:rPr>
          <w:sz w:val="24"/>
          <w:szCs w:val="24"/>
        </w:rPr>
      </w:pPr>
    </w:p>
    <w:p w14:paraId="686BD801" w14:textId="77777777" w:rsidR="006D2522" w:rsidRPr="003F7745" w:rsidRDefault="006D2522" w:rsidP="006D2522">
      <w:pPr>
        <w:rPr>
          <w:sz w:val="24"/>
          <w:szCs w:val="24"/>
          <w:u w:val="single"/>
          <w:lang w:val="en-US"/>
        </w:rPr>
      </w:pPr>
      <w:r w:rsidRPr="003F7745">
        <w:rPr>
          <w:sz w:val="24"/>
          <w:szCs w:val="24"/>
          <w:u w:val="single"/>
          <w:lang w:val="en-US"/>
        </w:rPr>
        <w:t>Приложение:</w:t>
      </w:r>
    </w:p>
    <w:p w14:paraId="072ADD63" w14:textId="046D3CEF" w:rsidR="003F7745" w:rsidRPr="003F7745" w:rsidRDefault="006D2522" w:rsidP="00E53DA6">
      <w:pPr>
        <w:numPr>
          <w:ilvl w:val="0"/>
          <w:numId w:val="28"/>
        </w:numPr>
        <w:ind w:right="-142"/>
        <w:contextualSpacing/>
        <w:rPr>
          <w:sz w:val="24"/>
          <w:szCs w:val="24"/>
        </w:rPr>
      </w:pPr>
      <w:r w:rsidRPr="00E53DA6">
        <w:rPr>
          <w:sz w:val="24"/>
          <w:szCs w:val="24"/>
          <w:lang w:val="en-US"/>
        </w:rPr>
        <w:t>1</w:t>
      </w:r>
      <w:r w:rsidR="003F7745">
        <w:rPr>
          <w:sz w:val="24"/>
          <w:szCs w:val="24"/>
          <w:lang w:val="en-US"/>
        </w:rPr>
        <w:t>.</w:t>
      </w:r>
      <w:r w:rsidRPr="00E53DA6">
        <w:rPr>
          <w:sz w:val="24"/>
          <w:szCs w:val="24"/>
          <w:lang w:val="en-US"/>
        </w:rPr>
        <w:t xml:space="preserve"> СТО РусГидро 02.03.107-2013</w:t>
      </w:r>
      <w:r w:rsidR="00731F68">
        <w:rPr>
          <w:sz w:val="24"/>
          <w:szCs w:val="24"/>
          <w:lang w:val="en-US"/>
        </w:rPr>
        <w:t>.</w:t>
      </w:r>
    </w:p>
    <w:p w14:paraId="423730C4" w14:textId="77777777" w:rsidR="00E53DA6" w:rsidRPr="00E53DA6" w:rsidRDefault="00E53DA6" w:rsidP="00E53DA6">
      <w:pPr>
        <w:rPr>
          <w:sz w:val="24"/>
          <w:szCs w:val="24"/>
        </w:rPr>
      </w:pPr>
    </w:p>
    <w:p w14:paraId="4A749319" w14:textId="77777777" w:rsidR="00E53DA6" w:rsidRPr="00E53DA6" w:rsidRDefault="00E53DA6" w:rsidP="00E53DA6">
      <w:pPr>
        <w:rPr>
          <w:sz w:val="24"/>
          <w:szCs w:val="24"/>
        </w:rPr>
      </w:pPr>
    </w:p>
    <w:p w14:paraId="1A0F4FD3" w14:textId="77777777" w:rsidR="00E53DA6" w:rsidRPr="00E53DA6" w:rsidRDefault="00E53DA6" w:rsidP="00E53DA6">
      <w:pPr>
        <w:rPr>
          <w:sz w:val="24"/>
          <w:szCs w:val="24"/>
        </w:rPr>
      </w:pPr>
    </w:p>
    <w:p w14:paraId="41C99F02" w14:textId="77777777" w:rsidR="00E53DA6" w:rsidRPr="00E53DA6" w:rsidRDefault="00E53DA6" w:rsidP="00E53DA6">
      <w:pPr>
        <w:rPr>
          <w:sz w:val="24"/>
          <w:szCs w:val="24"/>
        </w:rPr>
      </w:pPr>
    </w:p>
    <w:p w14:paraId="02D70D07" w14:textId="77777777" w:rsidR="00E53DA6" w:rsidRPr="00E53DA6" w:rsidRDefault="00E53DA6" w:rsidP="00E53DA6">
      <w:pPr>
        <w:rPr>
          <w:sz w:val="24"/>
          <w:szCs w:val="24"/>
        </w:rPr>
      </w:pPr>
    </w:p>
    <w:sectPr w:rsidR="00E53DA6" w:rsidRPr="00E53DA6" w:rsidSect="00E53DA6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D02AF" w14:textId="77777777" w:rsidR="00E3317B" w:rsidRDefault="00E3317B">
      <w:r>
        <w:separator/>
      </w:r>
    </w:p>
  </w:endnote>
  <w:endnote w:type="continuationSeparator" w:id="0">
    <w:p w14:paraId="4CB55894" w14:textId="77777777" w:rsidR="00E3317B" w:rsidRDefault="00E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7A3D" w14:textId="77777777" w:rsidR="00E3317B" w:rsidRDefault="00E3317B">
      <w:r>
        <w:separator/>
      </w:r>
    </w:p>
  </w:footnote>
  <w:footnote w:type="continuationSeparator" w:id="0">
    <w:p w14:paraId="7826103A" w14:textId="77777777" w:rsidR="00E3317B" w:rsidRDefault="00E3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E3317B" w:rsidRDefault="00E3317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E3317B" w:rsidRDefault="00E331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CF2C047" w:rsidR="00E3317B" w:rsidRDefault="00E3317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6B2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3317B" w:rsidRDefault="00E3317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0DB"/>
    <w:multiLevelType w:val="hybridMultilevel"/>
    <w:tmpl w:val="5E206E86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A2AD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F27D0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4700F"/>
    <w:multiLevelType w:val="hybridMultilevel"/>
    <w:tmpl w:val="880E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FC96027"/>
    <w:multiLevelType w:val="hybridMultilevel"/>
    <w:tmpl w:val="2BB64668"/>
    <w:lvl w:ilvl="0" w:tplc="0E263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B1C7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DDF6E9F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963874"/>
    <w:multiLevelType w:val="hybridMultilevel"/>
    <w:tmpl w:val="7B026766"/>
    <w:lvl w:ilvl="0" w:tplc="8AEC2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881EA0"/>
    <w:multiLevelType w:val="hybridMultilevel"/>
    <w:tmpl w:val="E6C00156"/>
    <w:lvl w:ilvl="0" w:tplc="5A18C012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E20D7A"/>
    <w:multiLevelType w:val="hybridMultilevel"/>
    <w:tmpl w:val="205CDDDA"/>
    <w:lvl w:ilvl="0" w:tplc="2292BFB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472F68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14"/>
  </w:num>
  <w:num w:numId="5">
    <w:abstractNumId w:val="16"/>
  </w:num>
  <w:num w:numId="6">
    <w:abstractNumId w:val="7"/>
  </w:num>
  <w:num w:numId="7">
    <w:abstractNumId w:val="17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22"/>
  </w:num>
  <w:num w:numId="13">
    <w:abstractNumId w:val="12"/>
  </w:num>
  <w:num w:numId="14">
    <w:abstractNumId w:val="23"/>
  </w:num>
  <w:num w:numId="15">
    <w:abstractNumId w:val="1"/>
  </w:num>
  <w:num w:numId="16">
    <w:abstractNumId w:val="14"/>
    <w:lvlOverride w:ilvl="0">
      <w:startOverride w:val="3"/>
    </w:lvlOverride>
    <w:lvlOverride w:ilvl="1">
      <w:startOverride w:val="4"/>
    </w:lvlOverride>
  </w:num>
  <w:num w:numId="17">
    <w:abstractNumId w:val="14"/>
    <w:lvlOverride w:ilvl="0">
      <w:startOverride w:val="3"/>
    </w:lvlOverride>
    <w:lvlOverride w:ilvl="1">
      <w:startOverride w:val="5"/>
    </w:lvlOverride>
  </w:num>
  <w:num w:numId="18">
    <w:abstractNumId w:val="14"/>
    <w:lvlOverride w:ilvl="0">
      <w:startOverride w:val="3"/>
    </w:lvlOverride>
    <w:lvlOverride w:ilvl="1">
      <w:startOverride w:val="6"/>
    </w:lvlOverride>
  </w:num>
  <w:num w:numId="19">
    <w:abstractNumId w:val="18"/>
  </w:num>
  <w:num w:numId="20">
    <w:abstractNumId w:val="9"/>
  </w:num>
  <w:num w:numId="21">
    <w:abstractNumId w:val="4"/>
  </w:num>
  <w:num w:numId="22">
    <w:abstractNumId w:val="0"/>
  </w:num>
  <w:num w:numId="23">
    <w:abstractNumId w:val="8"/>
  </w:num>
  <w:num w:numId="24">
    <w:abstractNumId w:val="3"/>
  </w:num>
  <w:num w:numId="25">
    <w:abstractNumId w:val="21"/>
  </w:num>
  <w:num w:numId="26">
    <w:abstractNumId w:val="19"/>
  </w:num>
  <w:num w:numId="27">
    <w:abstractNumId w:val="15"/>
  </w:num>
  <w:num w:numId="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6FA0"/>
    <w:rsid w:val="000170A9"/>
    <w:rsid w:val="00020164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7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F87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13A3"/>
    <w:rsid w:val="00072F17"/>
    <w:rsid w:val="00074481"/>
    <w:rsid w:val="00074B7B"/>
    <w:rsid w:val="00075E6D"/>
    <w:rsid w:val="0007638A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64CE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191"/>
    <w:rsid w:val="000B7841"/>
    <w:rsid w:val="000B7CBE"/>
    <w:rsid w:val="000C0AB7"/>
    <w:rsid w:val="000C1302"/>
    <w:rsid w:val="000C23C7"/>
    <w:rsid w:val="000C321E"/>
    <w:rsid w:val="000C392C"/>
    <w:rsid w:val="000C4C2D"/>
    <w:rsid w:val="000C4CA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498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27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5A1C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E41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F1E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AE5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3B4"/>
    <w:rsid w:val="00202A72"/>
    <w:rsid w:val="00202BA2"/>
    <w:rsid w:val="00202E34"/>
    <w:rsid w:val="00202EF0"/>
    <w:rsid w:val="00203D11"/>
    <w:rsid w:val="002041E7"/>
    <w:rsid w:val="00204AAD"/>
    <w:rsid w:val="002050F9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05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386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433"/>
    <w:rsid w:val="00312681"/>
    <w:rsid w:val="00312A6D"/>
    <w:rsid w:val="00312D2A"/>
    <w:rsid w:val="00315F67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781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E10"/>
    <w:rsid w:val="00375538"/>
    <w:rsid w:val="00375565"/>
    <w:rsid w:val="00380C92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2F6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969"/>
    <w:rsid w:val="003B35F2"/>
    <w:rsid w:val="003B3807"/>
    <w:rsid w:val="003B3B28"/>
    <w:rsid w:val="003B3DFA"/>
    <w:rsid w:val="003B40CE"/>
    <w:rsid w:val="003B4147"/>
    <w:rsid w:val="003B534C"/>
    <w:rsid w:val="003B5D2C"/>
    <w:rsid w:val="003B6AFD"/>
    <w:rsid w:val="003B7692"/>
    <w:rsid w:val="003B7963"/>
    <w:rsid w:val="003C017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116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745"/>
    <w:rsid w:val="00400A74"/>
    <w:rsid w:val="00400D9F"/>
    <w:rsid w:val="00400FEE"/>
    <w:rsid w:val="0040203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56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B28"/>
    <w:rsid w:val="00456D83"/>
    <w:rsid w:val="004602B4"/>
    <w:rsid w:val="00461056"/>
    <w:rsid w:val="004619BC"/>
    <w:rsid w:val="00461A7A"/>
    <w:rsid w:val="00462354"/>
    <w:rsid w:val="0046287A"/>
    <w:rsid w:val="0046340B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6DBC"/>
    <w:rsid w:val="004917A7"/>
    <w:rsid w:val="00491F33"/>
    <w:rsid w:val="00492312"/>
    <w:rsid w:val="00493518"/>
    <w:rsid w:val="00493D84"/>
    <w:rsid w:val="00493E63"/>
    <w:rsid w:val="0049451E"/>
    <w:rsid w:val="0049535F"/>
    <w:rsid w:val="004956E2"/>
    <w:rsid w:val="00496CB2"/>
    <w:rsid w:val="00496F9C"/>
    <w:rsid w:val="00497966"/>
    <w:rsid w:val="00497AB4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9F7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95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675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4A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943"/>
    <w:rsid w:val="00551BCF"/>
    <w:rsid w:val="00551CE9"/>
    <w:rsid w:val="005530F5"/>
    <w:rsid w:val="00553919"/>
    <w:rsid w:val="00553C6D"/>
    <w:rsid w:val="005542E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BC8"/>
    <w:rsid w:val="00560E71"/>
    <w:rsid w:val="005611E5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A68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5D1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D81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297"/>
    <w:rsid w:val="005E30C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223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5E9"/>
    <w:rsid w:val="00646627"/>
    <w:rsid w:val="00646769"/>
    <w:rsid w:val="006467C1"/>
    <w:rsid w:val="00646AAB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AE1"/>
    <w:rsid w:val="006A6DCA"/>
    <w:rsid w:val="006A716E"/>
    <w:rsid w:val="006A74D6"/>
    <w:rsid w:val="006A77F0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522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FF6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847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1E07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F68"/>
    <w:rsid w:val="007320A1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73E"/>
    <w:rsid w:val="00746BF1"/>
    <w:rsid w:val="00746D67"/>
    <w:rsid w:val="00747034"/>
    <w:rsid w:val="007475EE"/>
    <w:rsid w:val="00747F5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8D1"/>
    <w:rsid w:val="00782B2F"/>
    <w:rsid w:val="0078604B"/>
    <w:rsid w:val="00787A2E"/>
    <w:rsid w:val="00787B97"/>
    <w:rsid w:val="00790100"/>
    <w:rsid w:val="007901C7"/>
    <w:rsid w:val="00790E51"/>
    <w:rsid w:val="00791A36"/>
    <w:rsid w:val="00792F31"/>
    <w:rsid w:val="007935CF"/>
    <w:rsid w:val="00794A05"/>
    <w:rsid w:val="00794FA2"/>
    <w:rsid w:val="0079523C"/>
    <w:rsid w:val="007952B4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4B2"/>
    <w:rsid w:val="007A5817"/>
    <w:rsid w:val="007A59C7"/>
    <w:rsid w:val="007A5A2C"/>
    <w:rsid w:val="007A5D8E"/>
    <w:rsid w:val="007A74FC"/>
    <w:rsid w:val="007A7FED"/>
    <w:rsid w:val="007B03F9"/>
    <w:rsid w:val="007B1546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531A"/>
    <w:rsid w:val="007B5B9A"/>
    <w:rsid w:val="007B7473"/>
    <w:rsid w:val="007B7938"/>
    <w:rsid w:val="007C14AB"/>
    <w:rsid w:val="007C2E67"/>
    <w:rsid w:val="007C3711"/>
    <w:rsid w:val="007C3F72"/>
    <w:rsid w:val="007C3FBA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2F3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A90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394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C09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6F8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190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4CF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C46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68C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1FC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489"/>
    <w:rsid w:val="009C1FAF"/>
    <w:rsid w:val="009C3748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4C8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C11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716F"/>
    <w:rsid w:val="00B007F1"/>
    <w:rsid w:val="00B00A92"/>
    <w:rsid w:val="00B01493"/>
    <w:rsid w:val="00B02CD1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DE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B1D"/>
    <w:rsid w:val="00B354C5"/>
    <w:rsid w:val="00B3558B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706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6E40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166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CA8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E37"/>
    <w:rsid w:val="00C1242B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2E6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693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0B7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2C3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0603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06C6C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59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3CC"/>
    <w:rsid w:val="00D77C7B"/>
    <w:rsid w:val="00D77DC5"/>
    <w:rsid w:val="00D82D64"/>
    <w:rsid w:val="00D82E6E"/>
    <w:rsid w:val="00D83CC0"/>
    <w:rsid w:val="00D83E39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291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064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BCC"/>
    <w:rsid w:val="00DD50A2"/>
    <w:rsid w:val="00DD6F4E"/>
    <w:rsid w:val="00DD73C4"/>
    <w:rsid w:val="00DE0736"/>
    <w:rsid w:val="00DE0780"/>
    <w:rsid w:val="00DE1947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EF4"/>
    <w:rsid w:val="00E26F7B"/>
    <w:rsid w:val="00E27F13"/>
    <w:rsid w:val="00E30A23"/>
    <w:rsid w:val="00E313A1"/>
    <w:rsid w:val="00E3185B"/>
    <w:rsid w:val="00E32DD4"/>
    <w:rsid w:val="00E3307D"/>
    <w:rsid w:val="00E3317B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E24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3DA6"/>
    <w:rsid w:val="00E5477F"/>
    <w:rsid w:val="00E54A2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67CF5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0D9D"/>
    <w:rsid w:val="00E81434"/>
    <w:rsid w:val="00E82FAE"/>
    <w:rsid w:val="00E857B2"/>
    <w:rsid w:val="00E86B0C"/>
    <w:rsid w:val="00E9096E"/>
    <w:rsid w:val="00E90EC5"/>
    <w:rsid w:val="00E90F2E"/>
    <w:rsid w:val="00E91328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959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C19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48B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CB0"/>
    <w:rsid w:val="00F06DF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30F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7F0"/>
    <w:rsid w:val="00F319D5"/>
    <w:rsid w:val="00F31B44"/>
    <w:rsid w:val="00F31E70"/>
    <w:rsid w:val="00F31EA8"/>
    <w:rsid w:val="00F3361D"/>
    <w:rsid w:val="00F33785"/>
    <w:rsid w:val="00F33D8D"/>
    <w:rsid w:val="00F345AE"/>
    <w:rsid w:val="00F34935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43F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8A7"/>
    <w:rsid w:val="00F97D32"/>
    <w:rsid w:val="00F97E99"/>
    <w:rsid w:val="00FA011B"/>
    <w:rsid w:val="00FA01B3"/>
    <w:rsid w:val="00FA0220"/>
    <w:rsid w:val="00FA0C33"/>
    <w:rsid w:val="00FA1AE7"/>
    <w:rsid w:val="00FA286F"/>
    <w:rsid w:val="00FA3D3F"/>
    <w:rsid w:val="00FA412E"/>
    <w:rsid w:val="00FA4643"/>
    <w:rsid w:val="00FA5AC3"/>
    <w:rsid w:val="00FA6322"/>
    <w:rsid w:val="00FA6FD6"/>
    <w:rsid w:val="00FA7CB7"/>
    <w:rsid w:val="00FB0018"/>
    <w:rsid w:val="00FB0073"/>
    <w:rsid w:val="00FB0202"/>
    <w:rsid w:val="00FB0619"/>
    <w:rsid w:val="00FB1557"/>
    <w:rsid w:val="00FB1AE5"/>
    <w:rsid w:val="00FB1D6D"/>
    <w:rsid w:val="00FB342B"/>
    <w:rsid w:val="00FB3B80"/>
    <w:rsid w:val="00FB3C91"/>
    <w:rsid w:val="00FB4840"/>
    <w:rsid w:val="00FB6292"/>
    <w:rsid w:val="00FB6D5C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AA9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330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Placeholder Text"/>
    <w:basedOn w:val="a4"/>
    <w:uiPriority w:val="99"/>
    <w:semiHidden/>
    <w:rsid w:val="006A4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445C-B658-4B0F-8047-94A8E612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1671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12771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Османов Магомед Исламутдинович</cp:lastModifiedBy>
  <cp:revision>41</cp:revision>
  <cp:lastPrinted>2006-07-26T14:04:00Z</cp:lastPrinted>
  <dcterms:created xsi:type="dcterms:W3CDTF">2025-07-08T08:21:00Z</dcterms:created>
  <dcterms:modified xsi:type="dcterms:W3CDTF">2026-07-08T12:03:00Z</dcterms:modified>
</cp:coreProperties>
</file>