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b/>
          <w:bCs/>
          <w:sz w:val="26"/>
          <w:szCs w:val="26"/>
        </w:rPr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Техническое задание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284" w:hanging="0"/>
        <w:jc w:val="center"/>
        <w:rPr/>
      </w:pPr>
      <w:r>
        <w:rPr>
          <w:rFonts w:eastAsia="Calibri"/>
          <w:b/>
          <w:bCs/>
          <w:i w:val="false"/>
          <w:iCs w:val="false"/>
          <w:sz w:val="26"/>
          <w:szCs w:val="26"/>
          <w:shd w:fill="FFFFFF" w:val="clear"/>
        </w:rPr>
        <w:t>«</w:t>
      </w:r>
      <w:r>
        <w:rPr>
          <w:rStyle w:val="Strong"/>
          <w:rFonts w:eastAsia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ОКПД 2 26.60.12.129</w:t>
      </w:r>
      <w:r>
        <w:rPr>
          <w:rFonts w:eastAsia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 xml:space="preserve">. </w:t>
      </w:r>
      <w:r>
        <w:rPr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 xml:space="preserve">Поверка комплекса аппаратно-программного ЭСМО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284" w:hanging="0"/>
        <w:jc w:val="center"/>
        <w:rPr/>
      </w:pPr>
      <w:r>
        <w:rPr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Филиала ПАО «РусГидро» - «Бурейская ГЭС</w:t>
      </w:r>
      <w:r>
        <w:rPr>
          <w:rStyle w:val="Style8"/>
          <w:rFonts w:eastAsia="Calibri"/>
          <w:b/>
          <w:bCs/>
          <w:i w:val="false"/>
          <w:iCs w:val="false"/>
          <w:sz w:val="26"/>
          <w:szCs w:val="26"/>
          <w:shd w:fill="FFFFFF" w:val="clear"/>
        </w:rPr>
        <w:t>»</w:t>
      </w:r>
      <w:r>
        <w:rPr>
          <w:rFonts w:eastAsia="Calibri"/>
          <w:b/>
          <w:bCs/>
          <w:sz w:val="26"/>
          <w:szCs w:val="26"/>
          <w:shd w:fill="FFFFFF" w:val="clear"/>
        </w:rPr>
        <w:t xml:space="preserve"> </w:t>
      </w:r>
    </w:p>
    <w:p>
      <w:pPr>
        <w:pStyle w:val="Normal"/>
        <w:spacing w:before="0" w:after="0"/>
        <w:contextualSpacing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rPr>
          <w:lang w:val="ru-RU"/>
        </w:rPr>
        <w:t>О</w:t>
      </w:r>
      <w:bookmarkStart w:id="0" w:name="_Toc192235789"/>
      <w:r>
        <w:rPr>
          <w:lang w:val="ru-RU"/>
        </w:rPr>
        <w:t>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92235790"/>
      <w:r>
        <w:rPr/>
        <w:t>Обозначения и сокращения</w:t>
      </w:r>
      <w:bookmarkEnd w:id="1"/>
      <w:bookmarkEnd w:id="2"/>
    </w:p>
    <w:p>
      <w:pPr>
        <w:pStyle w:val="Normal"/>
        <w:shd w:val="clear" w:color="auto" w:fill="FFFFFF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89"/>
        <w:gridCol w:w="7690"/>
      </w:tblGrid>
      <w:tr>
        <w:trPr>
          <w:cantSplit w:val="true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измерения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ЭСМО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системы медицинских осмотров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«Бурейская ГЭС»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ставшее победителем конкурентной процедуры, с которым заключён договор на оказание услуг в соответствии с настоящими техническими требованиями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заключившее с Исполнителем договор об оказании услуг в соответствии с настоящими техническими требованиями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явным образом принявший участие в закупке</w:t>
            </w:r>
          </w:p>
        </w:tc>
      </w:tr>
    </w:tbl>
    <w:p>
      <w:pPr>
        <w:pStyle w:val="Normal"/>
        <w:widowControl/>
        <w:spacing w:before="0" w:after="283"/>
        <w:ind w:left="0" w:right="6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before="0" w:after="283"/>
        <w:ind w:left="0" w:right="60" w:hanging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Комплекс аппаратно-программный «Электронная система медицинских осмотров»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предназначен для организации и проведения предсменных, предрейсовых и послесменных, послерейсовых медицинских осмотров в соответствии с Приказом Министерства здравоохранения РФ от 30.05.2023 №266н. </w:t>
      </w:r>
    </w:p>
    <w:p>
      <w:pPr>
        <w:pStyle w:val="BodyText"/>
        <w:widowControl/>
        <w:suppressAutoHyphens w:val="true"/>
        <w:bidi w:val="0"/>
        <w:spacing w:before="0" w:after="120"/>
        <w:ind w:left="170" w:right="0" w:hanging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состав комплекса входит:</w:t>
      </w:r>
    </w:p>
    <w:p>
      <w:pPr>
        <w:pStyle w:val="BodyText"/>
        <w:widowControl/>
        <w:numPr>
          <w:ilvl w:val="0"/>
          <w:numId w:val="11"/>
        </w:numPr>
        <w:tabs>
          <w:tab w:val="clear" w:pos="708"/>
          <w:tab w:val="left" w:pos="0" w:leader="none"/>
        </w:tabs>
        <w:spacing w:before="120" w:after="140"/>
        <w:ind w:left="709" w:hanging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медицинский терминал с анализатором паров этанола, бесконтактным пупиллометром, инфракрасным термометром, автоматическим цифровым измерителем артериального давления и пульса;</w:t>
      </w:r>
    </w:p>
    <w:p>
      <w:pPr>
        <w:pStyle w:val="BodyText"/>
        <w:widowControl/>
        <w:numPr>
          <w:ilvl w:val="0"/>
          <w:numId w:val="11"/>
        </w:numPr>
        <w:tabs>
          <w:tab w:val="clear" w:pos="708"/>
          <w:tab w:val="left" w:pos="0" w:leader="none"/>
        </w:tabs>
        <w:spacing w:before="0" w:after="0"/>
        <w:ind w:left="709" w:hanging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предустановленное ПО «Функциональное рабочее место» для рабочего места фельдшера;</w:t>
      </w:r>
    </w:p>
    <w:p>
      <w:pPr>
        <w:pStyle w:val="Normal"/>
        <w:widowControl/>
        <w:spacing w:before="0" w:after="283"/>
        <w:ind w:left="0" w:right="60" w:hanging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серверное ПО «Модуль Медицинских осмотров».</w:t>
      </w:r>
      <w:r>
        <w:rPr>
          <w:color w:val="000000"/>
          <w:sz w:val="24"/>
          <w:szCs w:val="24"/>
        </w:rPr>
        <w:t xml:space="preserve">                                   </w:t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Ц</w:t>
      </w:r>
      <w:r>
        <w:rPr>
          <w:bCs/>
          <w:sz w:val="24"/>
          <w:szCs w:val="24"/>
          <w:shd w:fill="FFFFFF" w:val="clear"/>
        </w:rPr>
        <w:t>елью оказания услуг является п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 xml:space="preserve">ериодическая поверка двух </w:t>
      </w:r>
      <w:r>
        <w:rPr>
          <w:rStyle w:val="Style8"/>
          <w:rFonts w:eastAsia="Calibri"/>
          <w:b w:val="false"/>
          <w:i w:val="false"/>
          <w:sz w:val="24"/>
          <w:szCs w:val="24"/>
          <w:shd w:fill="FFFFFF" w:val="clear"/>
          <w:lang w:eastAsia="x-none"/>
        </w:rPr>
        <w:t xml:space="preserve">комплексов аппаратно-программных ЭСМО 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с применением эталонов и поверочного оборудования Исполнителя на месте установки поверяемого оборудования на объекте.</w:t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" w:name="_Toc192235794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3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"/>
        <w:gridCol w:w="3000"/>
        <w:gridCol w:w="2355"/>
        <w:gridCol w:w="2540"/>
        <w:gridCol w:w="1573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Поверка комплекса аппаратно-программного ЭСМО Филиала ПАО «РусГидро» - «Бурейская ГЭС»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/>
              <w:t xml:space="preserve">                  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ПАО «РусГидро» - «Бурейская ГЭС,   Амурская область, пгт. Талакан,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i w:val="false"/>
                <w:sz w:val="24"/>
                <w:szCs w:val="24"/>
                <w:shd w:fill="FFFFFF" w:val="clear"/>
                <w:lang w:eastAsia="x-none"/>
              </w:rPr>
              <w:t>Комплекс аппаратно-программный</w:t>
            </w:r>
            <w:bookmarkStart w:id="4" w:name="_GoBack"/>
            <w:bookmarkEnd w:id="4"/>
            <w:r>
              <w:rPr>
                <w:rStyle w:val="Style8"/>
                <w:rFonts w:eastAsia="Calibri"/>
                <w:b w:val="false"/>
                <w:i w:val="false"/>
                <w:sz w:val="24"/>
                <w:szCs w:val="24"/>
                <w:shd w:fill="FFFFFF" w:val="clear"/>
                <w:lang w:eastAsia="x-none"/>
              </w:rPr>
              <w:t xml:space="preserve"> ЭСМО, модификации КВЗР.192850.001-02, номер в госреестре 90557-23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шт.       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 </w:t>
            </w:r>
          </w:p>
        </w:tc>
      </w:tr>
      <w:tr>
        <w:trPr>
          <w:trHeight w:val="881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Поверка комплекса аппаратно-программного ЭСМО Филиала ПАО «РусГидро» - «Бурейская ГЭС»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/>
              <w:t xml:space="preserve">                   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ОП Н-БГЭС Филиала ПАО «РусГидро» - «Бурейская ГЭС,  </w:t>
            </w:r>
            <w:r>
              <w:rPr>
                <w:sz w:val="24"/>
                <w:szCs w:val="24"/>
              </w:rPr>
              <w:t xml:space="preserve"> Амурская область, пгт. Новобурейский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8"/>
                <w:rFonts w:eastAsia="Calibri"/>
                <w:b w:val="false"/>
                <w:i w:val="false"/>
                <w:sz w:val="24"/>
                <w:szCs w:val="24"/>
                <w:shd w:fill="FFFFFF" w:val="clear"/>
                <w:lang w:eastAsia="x-none"/>
              </w:rPr>
              <w:t>Комплекс аппаратно-программный</w:t>
            </w:r>
            <w:bookmarkStart w:id="5" w:name="_GoBack_Копия_1"/>
            <w:bookmarkEnd w:id="5"/>
            <w:r>
              <w:rPr>
                <w:rStyle w:val="Style8"/>
                <w:rFonts w:eastAsia="Calibri"/>
                <w:b w:val="false"/>
                <w:i w:val="false"/>
                <w:sz w:val="24"/>
                <w:szCs w:val="24"/>
                <w:shd w:fill="FFFFFF" w:val="clear"/>
                <w:lang w:eastAsia="x-none"/>
              </w:rPr>
              <w:t xml:space="preserve"> ЭСМО, модификации КВЗР.192850.001-02, номер в госреестре 90557-23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шт.  </w:t>
            </w:r>
          </w:p>
        </w:tc>
      </w:tr>
    </w:tbl>
    <w:p>
      <w:pPr>
        <w:pStyle w:val="Heading4"/>
        <w:numPr>
          <w:ilvl w:val="0"/>
          <w:numId w:val="0"/>
        </w:numPr>
        <w:ind w:left="720" w:hanging="0"/>
        <w:jc w:val="both"/>
        <w:rPr>
          <w:rStyle w:val="Style8"/>
          <w:b w:val="false"/>
          <w:i w:val="false"/>
          <w:i w:val="false"/>
          <w:color w:val="000000"/>
          <w:sz w:val="24"/>
          <w:szCs w:val="24"/>
          <w:shd w:fill="FFFFFF" w:val="clear"/>
          <w:lang w:val="ru-RU"/>
        </w:rPr>
      </w:pPr>
      <w:r>
        <w:rPr>
          <w:b w:val="false"/>
          <w:i w:val="false"/>
          <w:color w:val="000000"/>
          <w:sz w:val="24"/>
          <w:szCs w:val="24"/>
          <w:shd w:fill="FFFFFF" w:val="clear"/>
          <w:lang w:val="ru-RU"/>
        </w:rPr>
      </w:r>
      <w:bookmarkStart w:id="6" w:name="_Toc50125126"/>
      <w:bookmarkStart w:id="7" w:name="_Toc50125126"/>
      <w:bookmarkEnd w:id="7"/>
    </w:p>
    <w:p>
      <w:pPr>
        <w:pStyle w:val="Heading3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hanging="0"/>
        <w:rPr>
          <w:lang w:val="ru-RU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  <w:t xml:space="preserve">1.4  </w:t>
      </w:r>
      <w:bookmarkStart w:id="8" w:name="_Toc192235800"/>
      <w:bookmarkStart w:id="9" w:name="_Toc51339696"/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  <w:t>Требования</w:t>
      </w:r>
      <w:r>
        <w:rPr>
          <w:lang w:val="ru-RU"/>
        </w:rPr>
        <w:t xml:space="preserve"> </w:t>
      </w:r>
      <w:bookmarkEnd w:id="9"/>
      <w:r>
        <w:rPr>
          <w:lang w:val="ru-RU"/>
        </w:rPr>
        <w:t>к срокам оказания услуг</w:t>
      </w:r>
      <w:bookmarkEnd w:id="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0" w:name="_Toc192235801"/>
      <w:bookmarkStart w:id="11" w:name="_Toc51339697"/>
      <w:bookmarkStart w:id="12" w:name="_Toc50125127"/>
      <w:bookmarkStart w:id="13" w:name="_Toc50125126_Копия_1"/>
      <w:bookmarkEnd w:id="1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1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1"/>
      <w:bookmarkEnd w:id="12"/>
      <w:bookmarkEnd w:id="14"/>
      <w:r>
        <w:rPr>
          <w:sz w:val="24"/>
          <w:szCs w:val="24"/>
          <w:lang w:val="ru-RU"/>
        </w:rPr>
        <w:t>оказания услуг</w:t>
      </w:r>
      <w:bookmarkEnd w:id="10"/>
    </w:p>
    <w:tbl>
      <w:tblPr>
        <w:tblW w:w="9776" w:type="dxa"/>
        <w:jc w:val="left"/>
        <w:tblInd w:w="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91"/>
        <w:gridCol w:w="2565"/>
        <w:gridCol w:w="2977"/>
        <w:gridCol w:w="3142"/>
      </w:tblGrid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  <w:r>
              <w:rPr>
                <w:color w:val="C9211E"/>
                <w:sz w:val="24"/>
                <w:szCs w:val="24"/>
              </w:rPr>
              <w:t>*</w:t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 комплекса аппаратно-программного ЭСМО (2 шт.)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FFFFFF" w:val="clear"/>
              </w:rPr>
              <w:t>С даты, следующей за датой подписания договора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30 (тридцать) календарных дней с даты заключения договора.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left="0" w:hanging="0"/>
        <w:rPr/>
      </w:pPr>
      <w:r>
        <w:rPr/>
        <w:t xml:space="preserve">1.5  </w:t>
      </w:r>
      <w:bookmarkStart w:id="15" w:name="_Toc51339698"/>
      <w:bookmarkStart w:id="16" w:name="_Toc192235802"/>
      <w:bookmarkStart w:id="17" w:name="_Toc46743511"/>
      <w:r>
        <w:rPr/>
        <w:t xml:space="preserve">Требования к </w:t>
      </w:r>
      <w:bookmarkEnd w:id="17"/>
      <w:r>
        <w:rPr>
          <w:lang w:val="ru-RU"/>
        </w:rPr>
        <w:t>качеству услуг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8" w:name="_Toc19223580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15"/>
      <w:r>
        <w:rPr>
          <w:sz w:val="24"/>
          <w:szCs w:val="24"/>
          <w:lang w:val="ru-RU"/>
        </w:rPr>
        <w:t>качеству услуг</w:t>
      </w:r>
      <w:bookmarkEnd w:id="18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услуг: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FFFFFF" w:val="clear"/>
        </w:rPr>
        <w:t>Поверка комплекса аппаратно-программного ЭСМО</w:t>
      </w:r>
    </w:p>
    <w:tbl>
      <w:tblPr>
        <w:tblStyle w:val="affff7"/>
        <w:tblW w:w="969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6"/>
        <w:gridCol w:w="3063"/>
        <w:gridCol w:w="5481"/>
      </w:tblGrid>
      <w:tr>
        <w:trPr/>
        <w:tc>
          <w:tcPr>
            <w:tcW w:w="1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4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1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19"/>
          </w:p>
        </w:tc>
        <w:tc>
          <w:tcPr>
            <w:tcW w:w="3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4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Соблюдение при выполнении работ норм и правил нормативно-технических документов 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нормативно-техническими документами: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3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Федеральный Закон Российской Федерации от 26.06.2008 № 102-ФЗ «Об обеспечении единства измерений»;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Порядок проведения поверки средств измерений, требования к знаку поверки и содержанию свидетельства о поверке (утверждён Приказом Минпромторга России 31.07.2020г. №2510).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проведения поверки</w:t>
            </w:r>
          </w:p>
        </w:tc>
        <w:tc>
          <w:tcPr>
            <w:tcW w:w="548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Поверка СИ должна проводиться по методикам поверки.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Поверка СИ должна проводиться в условиях (при значениях влияющих факторов),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предусмотренных установленными для поверки средств измерений методиками поверки.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эталонам и средствам измерения, применяемых при поверке</w:t>
            </w:r>
          </w:p>
        </w:tc>
        <w:tc>
          <w:tcPr>
            <w:tcW w:w="54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Эталоны единиц величин, используемые при поверке, должны соответствовать требованиям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Положения об эталонах единиц величин, используемых в сфере государственного регулирования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обеспечения единства измерений, средства измерений, используемые при поверке должны быть утверждённого типа, поверены и соответствовать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требованиям методик поверки.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5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Результатом оказания услуг является: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Внесение результатов поверки в федеральный информационный фонд по обеспечению единства измерений;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отчётных документов по результатам проведённых работ (свидетельства о поверке СИ в печатном виде, поверительные клейма, нанесённые на СИ и на соответствующие страницы в паспорте на СИ, на свидетельства о поверке;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33"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извещение о непригодности к применению СИ при отрицательных результатах поверки).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приёмке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Внесение результатов поверки СИ в ФИФ</w:t>
            </w:r>
          </w:p>
        </w:tc>
        <w:tc>
          <w:tcPr>
            <w:tcW w:w="54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Приёмка  оказанных услуг производится после внесения результатов поверки СИ  в Федеральный информационный фонд по обеспечению единства измерений.</w:t>
            </w:r>
          </w:p>
        </w:tc>
      </w:tr>
      <w:tr>
        <w:trPr>
          <w:trHeight w:val="555" w:hRule="atLeast"/>
        </w:trPr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548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Передать Заказчику с актами выполненных работ свидетельства о поверке СИ, поверительные клейма, голографические наклейки, нанесённые на СИ и на соответствующие страницы в паспорте на СИ, на свидетельства о поверке;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"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Извещение о непригодности к применению СИ при отрицательных результатах поверки.</w:t>
            </w:r>
          </w:p>
        </w:tc>
      </w:tr>
      <w:tr>
        <w:trPr/>
        <w:tc>
          <w:tcPr>
            <w:tcW w:w="96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</w:p>
          <w:p>
            <w:pPr>
              <w:pStyle w:val="Normal"/>
              <w:widowControl w:val="false"/>
              <w:spacing w:before="0" w:after="120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  <w:p>
            <w:pPr>
              <w:pStyle w:val="Normal"/>
              <w:widowControl w:val="false"/>
              <w:spacing w:before="0" w:after="120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992" w:right="567" w:gutter="0" w:header="567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rPr/>
      </w:pPr>
      <w:bookmarkStart w:id="20" w:name="_Ref40301253"/>
      <w:bookmarkEnd w:id="20"/>
      <w:r>
        <w:rPr/>
        <w:t xml:space="preserve">        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567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6CBFE82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CBFE82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olor w:val="000000"/>
        <w:sz w:val="24"/>
        <w:szCs w:val="24"/>
        <w:lang w:val="ru-RU"/>
      </w:rPr>
    </w:pPr>
    <w:r>
      <w:rPr>
        <w:b/>
        <w:color w:val="000000"/>
        <w:sz w:val="24"/>
        <w:szCs w:val="24"/>
        <w:lang w:val="ru-RU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506c59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0z0" w:customStyle="1">
    <w:name w:val="WW8Num10z0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LineNumber" w:customStyle="1">
    <w:name w:val="Line Number"/>
    <w:rPr/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23">
    <w:name w:val="Основной шрифт абзаца2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10" w:customStyle="1">
    <w:name w:val="WW8Num10"/>
    <w:qFormat/>
  </w:style>
  <w:style w:type="numbering" w:styleId="WW8Num12" w:customStyle="1">
    <w:name w:val="WW8Num12"/>
    <w:qFormat/>
  </w:style>
  <w:style w:type="numbering" w:styleId="WW8Num15" w:customStyle="1">
    <w:name w:val="WW8Num15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6B49-B48F-4549-9EFD-BDFFF590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AlterOffice/3.4.0.9$Linux_X86_64 LibreOffice_project/b8daf9e823b1a5463a2f48435ddc2e8696e7d4fc</Application>
  <AppVersion>15.0000</AppVersion>
  <Pages>6</Pages>
  <Words>685</Words>
  <Characters>4819</Characters>
  <CharactersWithSpaces>5619</CharactersWithSpaces>
  <Paragraphs>129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kukushkinavb@corp.gidroogk.com</cp:lastModifiedBy>
  <cp:lastPrinted>2026-06-30T14:15:07Z</cp:lastPrinted>
  <dcterms:modified xsi:type="dcterms:W3CDTF">2026-07-09T08:20:17Z</dcterms:modified>
  <cp:revision>70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