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footer3.xml" ContentType="application/vnd.openxmlformats-officedocument.wordprocessingml.footer+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clear" w:pos="720"/>
          <w:tab w:val="left" w:pos="3148" w:leader="none"/>
          <w:tab w:val="center" w:pos="4818" w:leader="none"/>
          <w:tab w:val="left" w:pos="6926" w:leader="none"/>
        </w:tabs>
        <w:spacing w:lineRule="auto" w:line="240"/>
        <w:ind w:hanging="0"/>
        <w:jc w:val="center"/>
        <w:rPr/>
      </w:pPr>
      <w:r>
        <w:rPr/>
      </w:r>
    </w:p>
    <w:p>
      <w:pPr>
        <w:pStyle w:val="Normal"/>
        <w:shd w:val="clear" w:color="auto" w:fill="FFFFFF"/>
        <w:tabs>
          <w:tab w:val="clear" w:pos="720"/>
          <w:tab w:val="left" w:pos="3148" w:leader="none"/>
          <w:tab w:val="center" w:pos="4818" w:leader="none"/>
          <w:tab w:val="left" w:pos="6926" w:leader="none"/>
        </w:tabs>
        <w:spacing w:lineRule="auto" w:line="240"/>
        <w:ind w:hanging="0"/>
        <w:jc w:val="center"/>
        <w:rPr>
          <w:b/>
          <w:b/>
          <w:bCs/>
          <w:color w:val="000000"/>
          <w:sz w:val="24"/>
          <w:szCs w:val="24"/>
        </w:rPr>
      </w:pPr>
      <w:r>
        <w:rPr>
          <w:b/>
          <w:bCs/>
          <w:color w:val="000000"/>
          <w:sz w:val="24"/>
          <w:szCs w:val="24"/>
        </w:rPr>
        <w:t xml:space="preserve"> </w:t>
      </w:r>
      <w:r>
        <w:rPr>
          <w:bCs/>
          <w:color w:val="000000"/>
          <w:sz w:val="24"/>
          <w:szCs w:val="24"/>
        </w:rPr>
        <w:tab/>
        <w:tab/>
        <w:tab/>
      </w:r>
    </w:p>
    <w:p>
      <w:pPr>
        <w:pStyle w:val="Normal"/>
        <w:shd w:val="clear" w:color="auto" w:fill="FFFFFF"/>
        <w:tabs>
          <w:tab w:val="clear" w:pos="720"/>
          <w:tab w:val="left" w:pos="3148" w:leader="none"/>
          <w:tab w:val="center" w:pos="4818" w:leader="none"/>
          <w:tab w:val="left" w:pos="6926" w:leader="none"/>
        </w:tabs>
        <w:spacing w:lineRule="auto" w:line="240"/>
        <w:ind w:hanging="0"/>
        <w:jc w:val="center"/>
        <w:rPr>
          <w:b/>
          <w:b/>
          <w:bCs/>
          <w:color w:val="000000"/>
          <w:sz w:val="24"/>
          <w:szCs w:val="24"/>
        </w:rPr>
      </w:pPr>
      <w:r>
        <w:rPr>
          <w:b/>
          <w:bCs/>
          <w:color w:val="000000"/>
          <w:sz w:val="24"/>
          <w:szCs w:val="24"/>
        </w:rPr>
        <w:t xml:space="preserve">Договор подряда </w:t>
      </w:r>
    </w:p>
    <w:p>
      <w:pPr>
        <w:pStyle w:val="Normal"/>
        <w:shd w:val="clear" w:color="auto" w:fill="FFFFFF"/>
        <w:tabs>
          <w:tab w:val="clear" w:pos="720"/>
          <w:tab w:val="left" w:pos="3148" w:leader="none"/>
          <w:tab w:val="center" w:pos="4818" w:leader="none"/>
          <w:tab w:val="left" w:pos="6926" w:leader="none"/>
        </w:tabs>
        <w:spacing w:lineRule="auto" w:line="240"/>
        <w:ind w:hanging="0"/>
        <w:jc w:val="center"/>
        <w:rPr>
          <w:b/>
          <w:b/>
          <w:sz w:val="24"/>
          <w:szCs w:val="24"/>
        </w:rPr>
      </w:pPr>
      <w:r>
        <w:rPr>
          <w:b/>
          <w:bCs/>
          <w:color w:val="000000"/>
          <w:sz w:val="24"/>
          <w:szCs w:val="24"/>
        </w:rPr>
        <w:t>на выполнение проектно-изыскательских работ № ____</w:t>
      </w:r>
    </w:p>
    <w:p>
      <w:pPr>
        <w:pStyle w:val="Normal"/>
        <w:shd w:val="clear" w:color="auto" w:fill="FFFFFF"/>
        <w:spacing w:lineRule="auto" w:line="240"/>
        <w:ind w:hanging="0"/>
        <w:rPr>
          <w:b/>
          <w:b/>
          <w:bCs/>
          <w:color w:val="000000"/>
          <w:sz w:val="24"/>
          <w:szCs w:val="24"/>
        </w:rPr>
      </w:pPr>
      <w:r>
        <w:rPr>
          <w:b/>
          <w:bCs/>
          <w:color w:val="000000"/>
          <w:sz w:val="24"/>
          <w:szCs w:val="24"/>
        </w:rPr>
      </w:r>
    </w:p>
    <w:p>
      <w:pPr>
        <w:pStyle w:val="Normal"/>
        <w:shd w:val="clear" w:color="auto" w:fill="FFFFFF"/>
        <w:tabs>
          <w:tab w:val="clear" w:pos="720"/>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20"/>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color w:val="00000A"/>
        </w:rPr>
        <w:t>(АО «</w:t>
      </w:r>
      <w:r>
        <w:rPr>
          <w:color w:val="00000A"/>
          <w:lang w:val="ru-RU"/>
        </w:rPr>
        <w:t>ДРСК</w:t>
      </w:r>
      <w:r>
        <w:rPr>
          <w:color w:val="00000A"/>
        </w:rPr>
        <w:t xml:space="preserve">») (далее – «Заказчик»), в лице _______________ действующего на основании ______________,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00000A"/>
          <w:lang w:val="ru-RU"/>
        </w:rPr>
      </w:pPr>
      <w:r>
        <w:rPr>
          <w:color w:val="00000A"/>
        </w:rPr>
        <w:t>совместно в дальнейшем именуемые «Стороны», а по отдельности – «Сторона», по результатам проведенной Заказчиком конкурентной процедуры по лоту №_________</w:t>
      </w:r>
      <w:r>
        <w:rPr>
          <w:bCs/>
          <w:color w:val="00000A"/>
        </w:rPr>
        <w:t>,</w:t>
      </w:r>
      <w:r>
        <w:rPr/>
        <w:t xml:space="preserve"> </w:t>
      </w:r>
      <w:r>
        <w:rPr>
          <w:color w:val="00000A"/>
          <w:lang w:val="ru-RU"/>
        </w:rPr>
        <w:t>и</w:t>
      </w:r>
      <w:r>
        <w:rPr>
          <w:lang w:val="ru-RU"/>
        </w:rPr>
        <w:t xml:space="preserve"> </w:t>
      </w:r>
      <w:r>
        <w:rPr>
          <w:bCs/>
          <w:color w:val="00000A"/>
        </w:rPr>
        <w:t xml:space="preserve">на основании </w:t>
      </w:r>
      <w:r>
        <w:rPr>
          <w:color w:val="00000A"/>
        </w:rPr>
        <w:t>протокола о результатах __________</w:t>
      </w:r>
      <w:r>
        <w:rPr>
          <w:bCs/>
          <w:color w:val="00000A"/>
        </w:rPr>
        <w:t xml:space="preserve"> №_______ от «___»__________ года</w:t>
      </w:r>
      <w:r>
        <w:rPr>
          <w:bCs/>
          <w:color w:val="00000A"/>
          <w:lang w:val="ru-RU"/>
        </w:rPr>
        <w:t>,</w:t>
      </w:r>
    </w:p>
    <w:p>
      <w:pPr>
        <w:pStyle w:val="BodyText3"/>
        <w:ind w:firstLine="708"/>
        <w:rPr>
          <w:color w:val="00000A"/>
          <w:lang w:val="ru-RU"/>
        </w:rPr>
      </w:pPr>
      <w:r>
        <w:rPr>
          <w:color w:val="00000A"/>
        </w:rPr>
        <w:t>заключили настоящий договор (далее – «Договор») о нижеследующем:</w:t>
      </w:r>
    </w:p>
    <w:p>
      <w:pPr>
        <w:pStyle w:val="ListParagraph"/>
        <w:shd w:val="clear" w:color="auto" w:fill="FFFFFF"/>
        <w:tabs>
          <w:tab w:val="clear" w:pos="720"/>
          <w:tab w:val="left" w:pos="284" w:leader="none"/>
        </w:tabs>
        <w:ind w:left="0" w:hanging="0"/>
        <w:jc w:val="center"/>
        <w:rPr>
          <w:b/>
          <w:b/>
          <w:bCs/>
        </w:rPr>
      </w:pPr>
      <w:r>
        <w:rPr>
          <w:b/>
          <w:bCs/>
        </w:rPr>
      </w:r>
    </w:p>
    <w:p>
      <w:pPr>
        <w:pStyle w:val="ListParagraph"/>
        <w:shd w:val="clear" w:color="auto" w:fill="FFFFFF"/>
        <w:tabs>
          <w:tab w:val="clear" w:pos="720"/>
          <w:tab w:val="left" w:pos="284" w:leader="none"/>
        </w:tabs>
        <w:ind w:left="0" w:hanging="0"/>
        <w:jc w:val="center"/>
        <w:rPr>
          <w:b/>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highlight w:val="yellow"/>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Договора.</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lang w:eastAsia="en-US"/>
        </w:rPr>
      </w:pPr>
      <w:r>
        <w:rPr>
          <w:b/>
          <w:lang w:eastAsia="en-US"/>
        </w:rPr>
        <w:t xml:space="preserve">«ГПЗУ» </w:t>
      </w:r>
      <w:r>
        <w:rPr>
          <w:lang w:eastAsia="en-US"/>
        </w:rPr>
        <w:t>– градостроительный план земельного участка.</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spacing w:lineRule="auto" w:line="240"/>
        <w:ind w:firstLine="709"/>
        <w:rPr>
          <w:sz w:val="24"/>
          <w:szCs w:val="24"/>
        </w:rPr>
      </w:pPr>
      <w:r>
        <w:rPr>
          <w:b/>
          <w:sz w:val="24"/>
          <w:szCs w:val="24"/>
        </w:rPr>
        <w:t>«Инженерные изыскания»</w:t>
      </w:r>
      <w:r>
        <w:rPr>
          <w:sz w:val="24"/>
          <w:szCs w:val="24"/>
        </w:rPr>
        <w:t xml:space="preserve"> – работы, проводимые для комплексного изучения природных условий района, площадки, участка, трассы проектируемого объекта строительства / реконструкции, местных строительных материалов и источников водоснабжения и получения необходимых и достаточных материалов для разработки экономически целесообразных и технически обоснованных решений при проектировании и строительстве объектов с учётом рационального использования и охраны окружающей среды, а также получения данных для составления прогноза изменений окружающей среды под воздействием строительства / реконструкции и эксплуатации объекта капитального строительства.</w:t>
      </w:r>
    </w:p>
    <w:p>
      <w:pPr>
        <w:pStyle w:val="Normal"/>
        <w:spacing w:lineRule="auto" w:line="240"/>
        <w:ind w:firstLine="709"/>
        <w:rPr>
          <w:sz w:val="24"/>
          <w:szCs w:val="24"/>
        </w:rPr>
      </w:pPr>
      <w:r>
        <w:rPr>
          <w:b/>
          <w:sz w:val="24"/>
          <w:szCs w:val="24"/>
        </w:rPr>
        <w:t xml:space="preserve">«Исполнительная смета» </w:t>
      </w:r>
      <w:r>
        <w:rPr>
          <w:sz w:val="24"/>
          <w:szCs w:val="24"/>
          <w:lang w:eastAsia="en-US"/>
        </w:rPr>
        <w:t>–</w:t>
      </w:r>
      <w:r>
        <w:rPr>
          <w:sz w:val="24"/>
          <w:szCs w:val="24"/>
        </w:rPr>
        <w:t xml:space="preserve"> с</w:t>
      </w:r>
      <w:r>
        <w:rPr>
          <w:color w:val="000000"/>
          <w:sz w:val="24"/>
          <w:szCs w:val="24"/>
        </w:rPr>
        <w:t>метный расчет стоимости выполненных изыскательских работ, составленный на основе технического отчета по инженерным изысканиям в соответствии с фактически выполненными объемами работ в случае, если Предварительная смета на такие работы разработана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p>
    <w:p>
      <w:pPr>
        <w:pStyle w:val="ListParagraph"/>
        <w:widowControl w:val="false"/>
        <w:shd w:val="clear" w:color="auto" w:fill="FFFFFF"/>
        <w:tabs>
          <w:tab w:val="clear" w:pos="720"/>
          <w:tab w:val="left" w:pos="567" w:leader="none"/>
          <w:tab w:val="left" w:pos="1134" w:leader="none"/>
        </w:tabs>
        <w:overflowPunct w:val="true"/>
        <w:ind w:left="0" w:firstLine="709"/>
        <w:jc w:val="both"/>
        <w:textAlignment w:val="baseline"/>
        <w:rPr>
          <w:lang w:eastAsia="en-US"/>
        </w:rPr>
      </w:pPr>
      <w:r>
        <w:rPr>
          <w:b/>
          <w:lang w:eastAsia="en-US"/>
        </w:rPr>
        <w:t>«Исходно-разрешительная документация»</w:t>
      </w:r>
      <w:r>
        <w:rPr>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проведения Инженерных изысканий и обеспечения разработки Проектной документации и / или Рабочей документации. </w:t>
      </w:r>
    </w:p>
    <w:p>
      <w:pPr>
        <w:pStyle w:val="Normal"/>
        <w:widowControl w:val="false"/>
        <w:shd w:val="clear" w:color="auto" w:fill="FFFFFF"/>
        <w:tabs>
          <w:tab w:val="clear" w:pos="720"/>
          <w:tab w:val="left" w:pos="567" w:leader="none"/>
          <w:tab w:val="left" w:pos="1134" w:leader="none"/>
        </w:tabs>
        <w:overflowPunct w:val="true"/>
        <w:spacing w:lineRule="auto" w:line="240"/>
        <w:ind w:firstLine="709"/>
        <w:textAlignment w:val="baseline"/>
        <w:rPr>
          <w:sz w:val="24"/>
          <w:szCs w:val="24"/>
          <w:lang w:eastAsia="en-US"/>
        </w:rPr>
      </w:pPr>
      <w:r>
        <w:rPr>
          <w:sz w:val="24"/>
          <w:szCs w:val="24"/>
          <w:lang w:eastAsia="en-US"/>
        </w:rPr>
        <w:t>К Исходно-разрешительной документации относятся:</w:t>
      </w:r>
    </w:p>
    <w:p>
      <w:pPr>
        <w:pStyle w:val="ListParagraph"/>
        <w:widowControl w:val="false"/>
        <w:numPr>
          <w:ilvl w:val="0"/>
          <w:numId w:val="19"/>
        </w:numPr>
        <w:shd w:val="clear" w:color="auto" w:fill="FFFFFF"/>
        <w:tabs>
          <w:tab w:val="clear" w:pos="720"/>
          <w:tab w:val="left" w:pos="567" w:leader="none"/>
          <w:tab w:val="left" w:pos="1134" w:leader="none"/>
        </w:tabs>
        <w:overflowPunct w:val="true"/>
        <w:ind w:left="0" w:firstLine="709"/>
        <w:jc w:val="both"/>
        <w:textAlignment w:val="baseline"/>
        <w:rPr>
          <w:lang w:eastAsia="en-US"/>
        </w:rPr>
      </w:pPr>
      <w:r>
        <w:rPr>
          <w:lang w:eastAsia="en-US"/>
        </w:rPr>
        <w:t xml:space="preserve">документы в отношении земельных участков, необходимых для строительства / реконструкции проектируемых объектов капитального строительства (включая документы территориального планирования, ГПЗУ, документы кадастрового учета и т.п.);  </w:t>
      </w:r>
    </w:p>
    <w:p>
      <w:pPr>
        <w:pStyle w:val="ListParagraph"/>
        <w:widowControl w:val="false"/>
        <w:numPr>
          <w:ilvl w:val="0"/>
          <w:numId w:val="19"/>
        </w:numPr>
        <w:shd w:val="clear" w:color="auto" w:fill="FFFFFF"/>
        <w:tabs>
          <w:tab w:val="clear" w:pos="720"/>
          <w:tab w:val="left" w:pos="567" w:leader="none"/>
          <w:tab w:val="left" w:pos="1134" w:leader="none"/>
        </w:tabs>
        <w:overflowPunct w:val="true"/>
        <w:ind w:left="0" w:firstLine="709"/>
        <w:jc w:val="both"/>
        <w:textAlignment w:val="baseline"/>
        <w:rPr>
          <w:lang w:eastAsia="en-US"/>
        </w:rPr>
      </w:pPr>
      <w:r>
        <w:rPr>
          <w:lang w:eastAsia="en-US"/>
        </w:rPr>
        <w:t>технические условия на подключение к инженерным сетям и / или коммуникациям;</w:t>
      </w:r>
    </w:p>
    <w:p>
      <w:pPr>
        <w:pStyle w:val="ListParagraph"/>
        <w:widowControl w:val="false"/>
        <w:numPr>
          <w:ilvl w:val="0"/>
          <w:numId w:val="19"/>
        </w:numPr>
        <w:shd w:val="clear" w:color="auto" w:fill="FFFFFF"/>
        <w:tabs>
          <w:tab w:val="clear" w:pos="720"/>
          <w:tab w:val="left" w:pos="567" w:leader="none"/>
          <w:tab w:val="left" w:pos="1134" w:leader="none"/>
        </w:tabs>
        <w:overflowPunct w:val="true"/>
        <w:ind w:left="0" w:firstLine="709"/>
        <w:jc w:val="both"/>
        <w:textAlignment w:val="baseline"/>
        <w:rPr>
          <w:lang w:eastAsia="en-US"/>
        </w:rPr>
      </w:pPr>
      <w:r>
        <w:rPr>
          <w:lang w:eastAsia="en-US"/>
        </w:rPr>
        <w:t>технические условия на вынос / переустройство наземных и подземных инженерных сетей и / или коммуникаций с территории застройки земельного участка;</w:t>
      </w:r>
    </w:p>
    <w:p>
      <w:pPr>
        <w:pStyle w:val="ListParagraph"/>
        <w:widowControl w:val="false"/>
        <w:numPr>
          <w:ilvl w:val="0"/>
          <w:numId w:val="19"/>
        </w:numPr>
        <w:shd w:val="clear" w:color="auto" w:fill="FFFFFF"/>
        <w:tabs>
          <w:tab w:val="clear" w:pos="720"/>
          <w:tab w:val="left" w:pos="567" w:leader="none"/>
          <w:tab w:val="left" w:pos="1134" w:leader="none"/>
        </w:tabs>
        <w:overflowPunct w:val="true"/>
        <w:ind w:left="0" w:firstLine="709"/>
        <w:jc w:val="both"/>
        <w:textAlignment w:val="baseline"/>
        <w:rPr>
          <w:lang w:eastAsia="en-US"/>
        </w:rPr>
      </w:pPr>
      <w:r>
        <w:rPr>
          <w:lang w:eastAsia="en-US"/>
        </w:rPr>
        <w:t>разрешительные и / или распорядительные документы;</w:t>
      </w:r>
    </w:p>
    <w:p>
      <w:pPr>
        <w:pStyle w:val="ListParagraph"/>
        <w:widowControl w:val="false"/>
        <w:numPr>
          <w:ilvl w:val="0"/>
          <w:numId w:val="19"/>
        </w:numPr>
        <w:shd w:val="clear" w:color="auto" w:fill="FFFFFF"/>
        <w:tabs>
          <w:tab w:val="clear" w:pos="720"/>
          <w:tab w:val="left" w:pos="567" w:leader="none"/>
          <w:tab w:val="left" w:pos="1134" w:leader="none"/>
        </w:tabs>
        <w:overflowPunct w:val="true"/>
        <w:ind w:left="0" w:firstLine="709"/>
        <w:jc w:val="both"/>
        <w:textAlignment w:val="baseline"/>
        <w:rPr>
          <w:lang w:eastAsia="en-US"/>
        </w:rPr>
      </w:pPr>
      <w:r>
        <w:rPr>
          <w:lang w:eastAsia="en-US"/>
        </w:rPr>
        <w:t>справки, заключения, согласования.</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b/>
          <w:b/>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необходимы Подрядчику для выполнения Работ по Договору.</w:t>
      </w:r>
      <w:r>
        <w:rPr>
          <w:b/>
          <w:lang w:eastAsia="en-US"/>
        </w:rPr>
        <w:t xml:space="preserve"> </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lang w:eastAsia="en-US"/>
        </w:rPr>
      </w:pPr>
      <w:r>
        <w:rPr>
          <w:b/>
          <w:lang w:eastAsia="en-US"/>
        </w:rPr>
        <w:t xml:space="preserve">«Обеспечительный платеж» </w:t>
      </w:r>
      <w:r>
        <w:rPr>
          <w:lang w:eastAsia="en-US"/>
        </w:rPr>
        <w:t xml:space="preserve">– платеж в размере 10 % (десять процентов) от </w:t>
      </w:r>
      <w:r>
        <w:rPr/>
        <w:t>стоимости каждого Этапа Работ,</w:t>
      </w:r>
      <w:r>
        <w:rPr>
          <w:lang w:eastAsia="en-US"/>
        </w:rPr>
        <w:t xml:space="preserve"> который удерживается Заказчиком в качестве гарантийного резервирования в соответствии с условиями Договора.</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spacing w:lineRule="auto" w:line="240"/>
        <w:ind w:firstLine="709"/>
        <w:rPr>
          <w:sz w:val="24"/>
          <w:szCs w:val="24"/>
        </w:rPr>
      </w:pPr>
      <w:r>
        <w:rPr>
          <w:b/>
          <w:sz w:val="24"/>
          <w:szCs w:val="24"/>
        </w:rPr>
        <w:t>«Организация по проведению государственной экспертизы»</w:t>
      </w:r>
      <w:r>
        <w:rPr>
          <w:sz w:val="24"/>
          <w:szCs w:val="24"/>
        </w:rPr>
        <w:t xml:space="preserve"> </w:t>
      </w:r>
      <w:r>
        <w:rPr>
          <w:sz w:val="24"/>
          <w:szCs w:val="24"/>
          <w:lang w:eastAsia="en-US"/>
        </w:rPr>
        <w:t>–</w:t>
      </w:r>
      <w:r>
        <w:rPr>
          <w:sz w:val="24"/>
          <w:szCs w:val="24"/>
        </w:rPr>
        <w:t xml:space="preserve"> уполномоченные на проведение государственной экспертизы в отношении Проектной документации и (или) Результатов Инженерных изысканий федеральный орган исполнительной власти, орган исполнительной власти субъекта Российской Федерации или подведомственные указанным органам государственные (бюджетные или автономные) учреждения. </w:t>
      </w:r>
    </w:p>
    <w:p>
      <w:pPr>
        <w:pStyle w:val="Normal"/>
        <w:spacing w:lineRule="auto" w:line="240"/>
        <w:ind w:firstLine="709"/>
        <w:rPr>
          <w:sz w:val="24"/>
          <w:szCs w:val="24"/>
        </w:rPr>
      </w:pPr>
      <w:r>
        <w:rPr>
          <w:sz w:val="24"/>
          <w:szCs w:val="24"/>
        </w:rPr>
        <w:t xml:space="preserve">Наименование конкретного органа / учреждения определяется в соответствии с законодательством Российской Федерации о градостроительной деятельности и указывается в Техническом задании (Приложение № 1 к Договору). </w:t>
      </w:r>
    </w:p>
    <w:p>
      <w:pPr>
        <w:pStyle w:val="Normal"/>
        <w:spacing w:lineRule="auto" w:line="240"/>
        <w:ind w:firstLine="709"/>
        <w:rPr>
          <w:sz w:val="24"/>
          <w:szCs w:val="24"/>
        </w:rPr>
      </w:pPr>
      <w:r>
        <w:rPr>
          <w:b/>
          <w:sz w:val="24"/>
          <w:szCs w:val="24"/>
        </w:rPr>
        <w:t>«Предварительная смета»</w:t>
      </w:r>
      <w:r>
        <w:rPr>
          <w:sz w:val="24"/>
          <w:szCs w:val="24"/>
        </w:rPr>
        <w:t xml:space="preserve"> </w:t>
      </w:r>
      <w:r>
        <w:rPr>
          <w:sz w:val="24"/>
          <w:szCs w:val="24"/>
          <w:lang w:eastAsia="en-US"/>
        </w:rPr>
        <w:t>–</w:t>
      </w:r>
      <w:r>
        <w:rPr>
          <w:sz w:val="24"/>
          <w:szCs w:val="24"/>
        </w:rPr>
        <w:t xml:space="preserve"> </w:t>
      </w:r>
      <w:r>
        <w:rPr>
          <w:color w:val="000000"/>
          <w:sz w:val="24"/>
          <w:szCs w:val="24"/>
        </w:rPr>
        <w:t>сметный расчет стоимости планируемых изыскательских работ, составляемый на основе технического задания Заказчика и программы изысканий в соответствии с действующим порядком ценообразования в инженерных изысканиях, составленный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r>
        <w:rPr/>
        <w:t xml:space="preserve"> </w:t>
      </w:r>
      <w:r>
        <w:rPr>
          <w:color w:val="000000"/>
          <w:sz w:val="24"/>
          <w:szCs w:val="24"/>
        </w:rPr>
        <w:t>и подлежащий корректировке в соответствии с фактически выполненными объемами работ.</w:t>
      </w:r>
    </w:p>
    <w:p>
      <w:pPr>
        <w:pStyle w:val="3"/>
        <w:keepNext w:val="false"/>
        <w:widowControl w:val="false"/>
        <w:tabs>
          <w:tab w:val="clear" w:pos="720"/>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3"/>
        <w:keepNext w:val="false"/>
        <w:widowControl w:val="false"/>
        <w:tabs>
          <w:tab w:val="clear" w:pos="720"/>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3"/>
        <w:keepNext w:val="false"/>
        <w:widowControl w:val="false"/>
        <w:tabs>
          <w:tab w:val="clear" w:pos="720"/>
          <w:tab w:val="left" w:pos="567" w:leader="none"/>
        </w:tabs>
        <w:overflowPunct w:val="true"/>
        <w:spacing w:before="0" w:after="0"/>
        <w:ind w:firstLine="708"/>
        <w:jc w:val="both"/>
        <w:textAlignment w:val="baseline"/>
        <w:rPr>
          <w:b w:val="false"/>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3"/>
        <w:keepNext w:val="false"/>
        <w:widowControl w:val="false"/>
        <w:tabs>
          <w:tab w:val="clear" w:pos="720"/>
          <w:tab w:val="left" w:pos="567" w:leader="none"/>
        </w:tabs>
        <w:overflowPunct w:val="true"/>
        <w:spacing w:before="0" w:after="0"/>
        <w:ind w:firstLine="708"/>
        <w:jc w:val="both"/>
        <w:textAlignment w:val="baseline"/>
        <w:rPr>
          <w:b w:val="false"/>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pPr>
        <w:pStyle w:val="3"/>
        <w:keepNext w:val="false"/>
        <w:widowControl w:val="false"/>
        <w:tabs>
          <w:tab w:val="clear" w:pos="720"/>
          <w:tab w:val="left" w:pos="567" w:leader="none"/>
        </w:tabs>
        <w:overflowPunct w:val="tru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20"/>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20"/>
          <w:tab w:val="left" w:pos="567" w:leader="none"/>
        </w:tabs>
        <w:spacing w:lineRule="auto" w:line="240"/>
        <w:ind w:firstLine="708"/>
        <w:rPr>
          <w:sz w:val="24"/>
          <w:szCs w:val="24"/>
          <w:lang w:eastAsia="en-US"/>
        </w:rPr>
      </w:pPr>
      <w:r>
        <w:rPr>
          <w:b/>
          <w:sz w:val="24"/>
          <w:szCs w:val="24"/>
          <w:lang w:eastAsia="en-US"/>
        </w:rPr>
        <w:t>«Работы по оформлению прав Заказчика на земельные участки, необходимые для строительства»</w:t>
      </w:r>
      <w:r>
        <w:rPr>
          <w:sz w:val="24"/>
          <w:szCs w:val="24"/>
          <w:lang w:eastAsia="en-US"/>
        </w:rPr>
        <w:t xml:space="preserve"> – работы, выполняемые для получения необходимых в соответствии с требованиями земельного и градостроительного законодательства Российской Федерации, документов и прав пользования Заказчика в отношении земельных участков, необходимых для подготовки Проектной документации и последующего строительства / реконструкции проектируемых объектов капитального строительства, включая, но не ограничиваясь:</w:t>
      </w:r>
    </w:p>
    <w:p>
      <w:pPr>
        <w:pStyle w:val="ListParagraph"/>
        <w:widowControl w:val="false"/>
        <w:numPr>
          <w:ilvl w:val="0"/>
          <w:numId w:val="18"/>
        </w:numPr>
        <w:tabs>
          <w:tab w:val="clear" w:pos="720"/>
          <w:tab w:val="left" w:pos="567" w:leader="none"/>
          <w:tab w:val="left" w:pos="1134" w:leader="none"/>
        </w:tabs>
        <w:ind w:left="0" w:firstLine="709"/>
        <w:jc w:val="both"/>
        <w:rPr>
          <w:lang w:eastAsia="en-US"/>
        </w:rPr>
      </w:pPr>
      <w:r>
        <w:rPr>
          <w:lang w:eastAsia="en-US"/>
        </w:rPr>
        <w:t>внесение изменений в правила землепользования и застройки соответствующих муниципальных образований;</w:t>
      </w:r>
    </w:p>
    <w:p>
      <w:pPr>
        <w:pStyle w:val="ListParagraph"/>
        <w:widowControl w:val="false"/>
        <w:numPr>
          <w:ilvl w:val="0"/>
          <w:numId w:val="18"/>
        </w:numPr>
        <w:tabs>
          <w:tab w:val="clear" w:pos="720"/>
          <w:tab w:val="left" w:pos="567" w:leader="none"/>
          <w:tab w:val="left" w:pos="1134" w:leader="none"/>
        </w:tabs>
        <w:ind w:left="0" w:firstLine="709"/>
        <w:jc w:val="both"/>
        <w:rPr>
          <w:lang w:eastAsia="en-US"/>
        </w:rPr>
      </w:pPr>
      <w:r>
        <w:rPr>
          <w:lang w:eastAsia="en-US"/>
        </w:rPr>
        <w:t>получение надлежащим образом согласованной и утвержденной документации по планировке территории (проект планировки территории, проект межевания территории);</w:t>
      </w:r>
    </w:p>
    <w:p>
      <w:pPr>
        <w:pStyle w:val="ListParagraph"/>
        <w:widowControl w:val="false"/>
        <w:numPr>
          <w:ilvl w:val="0"/>
          <w:numId w:val="18"/>
        </w:numPr>
        <w:tabs>
          <w:tab w:val="clear" w:pos="720"/>
          <w:tab w:val="left" w:pos="567" w:leader="none"/>
          <w:tab w:val="left" w:pos="1134" w:leader="none"/>
        </w:tabs>
        <w:ind w:left="0" w:firstLine="709"/>
        <w:jc w:val="both"/>
        <w:rPr>
          <w:lang w:eastAsia="en-US"/>
        </w:rPr>
      </w:pPr>
      <w:r>
        <w:rPr>
          <w:lang w:eastAsia="en-US"/>
        </w:rPr>
        <w:t>формирование и постановка земельных участков на государственный кадастровый учет;</w:t>
      </w:r>
    </w:p>
    <w:p>
      <w:pPr>
        <w:pStyle w:val="ListParagraph"/>
        <w:widowControl w:val="false"/>
        <w:numPr>
          <w:ilvl w:val="0"/>
          <w:numId w:val="18"/>
        </w:numPr>
        <w:tabs>
          <w:tab w:val="clear" w:pos="720"/>
          <w:tab w:val="left" w:pos="567" w:leader="none"/>
          <w:tab w:val="left" w:pos="1134" w:leader="none"/>
        </w:tabs>
        <w:ind w:left="0" w:firstLine="709"/>
        <w:jc w:val="both"/>
        <w:rPr>
          <w:lang w:eastAsia="en-US"/>
        </w:rPr>
      </w:pPr>
      <w:r>
        <w:rPr>
          <w:lang w:eastAsia="en-US"/>
        </w:rPr>
        <w:t>изменение категорий и видов разрешенного использования земельных участков;</w:t>
      </w:r>
    </w:p>
    <w:p>
      <w:pPr>
        <w:pStyle w:val="ListParagraph"/>
        <w:widowControl w:val="false"/>
        <w:numPr>
          <w:ilvl w:val="0"/>
          <w:numId w:val="18"/>
        </w:numPr>
        <w:tabs>
          <w:tab w:val="clear" w:pos="720"/>
          <w:tab w:val="left" w:pos="567" w:leader="none"/>
          <w:tab w:val="left" w:pos="1134" w:leader="none"/>
        </w:tabs>
        <w:ind w:left="0" w:firstLine="709"/>
        <w:jc w:val="both"/>
        <w:rPr>
          <w:lang w:eastAsia="en-US"/>
        </w:rPr>
      </w:pPr>
      <w:r>
        <w:rPr>
          <w:lang w:eastAsia="en-US"/>
        </w:rPr>
        <w:t>заключение от имени и за счет Заказчика договоров аренды, сервитута либо купли-продажи земельных участков;</w:t>
      </w:r>
    </w:p>
    <w:p>
      <w:pPr>
        <w:pStyle w:val="ListParagraph"/>
        <w:widowControl w:val="false"/>
        <w:numPr>
          <w:ilvl w:val="0"/>
          <w:numId w:val="18"/>
        </w:numPr>
        <w:tabs>
          <w:tab w:val="clear" w:pos="720"/>
          <w:tab w:val="left" w:pos="567" w:leader="none"/>
          <w:tab w:val="left" w:pos="1134" w:leader="none"/>
        </w:tabs>
        <w:ind w:left="0" w:firstLine="709"/>
        <w:jc w:val="both"/>
        <w:rPr/>
      </w:pPr>
      <w:r>
        <w:rPr>
          <w:lang w:eastAsia="en-US"/>
        </w:rPr>
        <w:t>получение ГПЗУ</w:t>
      </w:r>
      <w:r>
        <w:rPr/>
        <w:t>.</w:t>
      </w:r>
    </w:p>
    <w:p>
      <w:pPr>
        <w:pStyle w:val="Normal"/>
        <w:widowControl w:val="false"/>
        <w:tabs>
          <w:tab w:val="clear" w:pos="720"/>
          <w:tab w:val="left" w:pos="567" w:leader="none"/>
        </w:tabs>
        <w:spacing w:lineRule="auto" w:line="240"/>
        <w:ind w:firstLine="708"/>
        <w:rPr>
          <w:sz w:val="24"/>
          <w:szCs w:val="24"/>
          <w:lang w:eastAsia="en-US"/>
        </w:rPr>
      </w:pPr>
      <w:r>
        <w:rPr>
          <w:b/>
          <w:sz w:val="24"/>
          <w:szCs w:val="24"/>
          <w:lang w:eastAsia="en-US"/>
        </w:rPr>
        <w:t xml:space="preserve">«Рабочая документация» – </w:t>
      </w:r>
      <w:r>
        <w:rPr>
          <w:sz w:val="24"/>
          <w:szCs w:val="24"/>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pPr>
        <w:pStyle w:val="ListParagraph"/>
        <w:widowControl w:val="false"/>
        <w:numPr>
          <w:ilvl w:val="0"/>
          <w:numId w:val="4"/>
        </w:numPr>
        <w:shd w:val="clear" w:color="auto" w:fill="FFFFFF"/>
        <w:tabs>
          <w:tab w:val="clear" w:pos="720"/>
          <w:tab w:val="left" w:pos="567" w:leader="none"/>
          <w:tab w:val="left" w:pos="1134" w:leader="none"/>
        </w:tabs>
        <w:overflowPunct w:val="true"/>
        <w:ind w:left="0" w:firstLine="708"/>
        <w:jc w:val="both"/>
        <w:textAlignment w:val="baseline"/>
        <w:rPr>
          <w:lang w:eastAsia="en-US"/>
        </w:rPr>
      </w:pPr>
      <w:r>
        <w:rPr>
          <w:lang w:eastAsia="en-US"/>
        </w:rPr>
        <w:t>рабочие чертежи основного комплекта, спецификации оборудования и изделий;</w:t>
      </w:r>
    </w:p>
    <w:p>
      <w:pPr>
        <w:pStyle w:val="ListParagraph"/>
        <w:widowControl w:val="false"/>
        <w:numPr>
          <w:ilvl w:val="0"/>
          <w:numId w:val="4"/>
        </w:numPr>
        <w:shd w:val="clear" w:color="auto" w:fill="FFFFFF"/>
        <w:tabs>
          <w:tab w:val="clear" w:pos="720"/>
          <w:tab w:val="left" w:pos="567" w:leader="none"/>
          <w:tab w:val="left" w:pos="1134" w:leader="none"/>
        </w:tabs>
        <w:overflowPunct w:val="true"/>
        <w:ind w:left="0" w:firstLine="708"/>
        <w:jc w:val="both"/>
        <w:textAlignment w:val="baseline"/>
        <w:rPr>
          <w:lang w:eastAsia="en-US"/>
        </w:rPr>
      </w:pPr>
      <w:r>
        <w:rPr>
          <w:lang w:eastAsia="en-US"/>
        </w:rPr>
        <w:t>документы, разработанные в дополнение к рабочим чертежам основного комплекта;</w:t>
      </w:r>
    </w:p>
    <w:p>
      <w:pPr>
        <w:pStyle w:val="ListParagraph"/>
        <w:widowControl w:val="false"/>
        <w:numPr>
          <w:ilvl w:val="0"/>
          <w:numId w:val="4"/>
        </w:numPr>
        <w:shd w:val="clear" w:color="auto" w:fill="FFFFFF"/>
        <w:tabs>
          <w:tab w:val="clear" w:pos="720"/>
          <w:tab w:val="left" w:pos="567" w:leader="none"/>
          <w:tab w:val="left" w:pos="1134" w:leader="none"/>
        </w:tabs>
        <w:overflowPunct w:val="true"/>
        <w:ind w:left="0" w:firstLine="708"/>
        <w:jc w:val="both"/>
        <w:textAlignment w:val="baseline"/>
        <w:rPr>
          <w:lang w:eastAsia="en-US"/>
        </w:rPr>
      </w:pPr>
      <w:r>
        <w:rPr>
          <w:lang w:eastAsia="en-US"/>
        </w:rPr>
        <w:t>сметную документацию.</w:t>
      </w:r>
    </w:p>
    <w:p>
      <w:pPr>
        <w:pStyle w:val="Normal"/>
        <w:widowControl w:val="false"/>
        <w:tabs>
          <w:tab w:val="clear" w:pos="720"/>
          <w:tab w:val="left" w:pos="567" w:leader="none"/>
        </w:tabs>
        <w:spacing w:lineRule="auto" w:line="240"/>
        <w:ind w:firstLine="708"/>
        <w:rPr>
          <w:sz w:val="24"/>
          <w:szCs w:val="24"/>
        </w:rPr>
      </w:pP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3"/>
        <w:keepNext w:val="false"/>
        <w:widowControl w:val="false"/>
        <w:tabs>
          <w:tab w:val="clear" w:pos="720"/>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выполненная Подрядчиком и принятая Заказчиком по Акту сдачи-приемки выполненных работ Проектная документация и Результат Инженерных изысканий, получившие положительное заключение государственной экспертизы и / или Рабочая документация или иной результат Этапа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Normal"/>
        <w:spacing w:lineRule="auto" w:line="240"/>
        <w:ind w:firstLine="709"/>
        <w:rPr>
          <w:sz w:val="24"/>
          <w:szCs w:val="24"/>
          <w:lang w:eastAsia="en-US"/>
        </w:rPr>
      </w:pPr>
      <w:r>
        <w:rPr>
          <w:b/>
          <w:sz w:val="24"/>
          <w:szCs w:val="24"/>
          <w:lang w:eastAsia="en-US"/>
        </w:rPr>
        <w:t>«Результат Инженерных изысканий»</w:t>
      </w:r>
      <w:r>
        <w:rPr>
          <w:sz w:val="24"/>
          <w:szCs w:val="24"/>
          <w:lang w:eastAsia="en-US"/>
        </w:rPr>
        <w:t xml:space="preserve"> – документация о выполненных инженерных изысканиях, содержащая материалы в текстовой форме и в виде карт (схем) и отражающая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 реконструкции такого объекта и после их завершения, и о результатах оценки влияния строительства / реконструкции такого объекта на другие объекты капитального строительства.</w:t>
      </w:r>
    </w:p>
    <w:p>
      <w:pPr>
        <w:pStyle w:val="3"/>
        <w:keepNext w:val="false"/>
        <w:widowControl w:val="false"/>
        <w:tabs>
          <w:tab w:val="clear" w:pos="720"/>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w:t>
      </w:r>
    </w:p>
    <w:p>
      <w:pPr>
        <w:pStyle w:val="3"/>
        <w:keepNext w:val="false"/>
        <w:widowControl w:val="false"/>
        <w:tabs>
          <w:tab w:val="clear" w:pos="720"/>
          <w:tab w:val="left" w:pos="567" w:leader="none"/>
        </w:tabs>
        <w:overflowPunct w:val="true"/>
        <w:spacing w:before="0" w:after="0"/>
        <w:ind w:firstLine="708"/>
        <w:jc w:val="both"/>
        <w:textAlignment w:val="baseline"/>
        <w:rPr>
          <w:sz w:val="24"/>
          <w:szCs w:val="24"/>
          <w:lang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Normal"/>
        <w:spacing w:lineRule="auto" w:line="240"/>
        <w:ind w:firstLine="709"/>
        <w:rPr>
          <w:highlight w:val="yellow"/>
        </w:rPr>
      </w:pPr>
      <w:r>
        <w:rPr>
          <w:b/>
          <w:sz w:val="24"/>
          <w:szCs w:val="24"/>
          <w:shd w:fill="FFFFFF" w:val="clear"/>
          <w:lang w:eastAsia="en-US"/>
        </w:rPr>
        <w:t>«Субъект МСП»</w:t>
      </w:r>
      <w:r>
        <w:rPr>
          <w:sz w:val="24"/>
          <w:szCs w:val="24"/>
          <w:shd w:fill="FFFFFF" w:val="clear"/>
          <w:lang w:eastAsia="en-US"/>
        </w:rPr>
        <w:t xml:space="preserve"> – субъект малого и среднего предпринимательства.</w:t>
      </w:r>
    </w:p>
    <w:p>
      <w:pPr>
        <w:pStyle w:val="3"/>
        <w:keepNext w:val="false"/>
        <w:widowControl w:val="false"/>
        <w:tabs>
          <w:tab w:val="clear" w:pos="720"/>
          <w:tab w:val="left" w:pos="567" w:leader="none"/>
        </w:tabs>
        <w:overflowPunct w:val="true"/>
        <w:spacing w:before="0" w:after="0"/>
        <w:ind w:firstLine="708"/>
        <w:jc w:val="both"/>
        <w:textAlignment w:val="baseline"/>
        <w:rPr>
          <w:highlight w:val="yellow"/>
        </w:rPr>
      </w:pPr>
      <w:r>
        <w:rPr>
          <w:sz w:val="24"/>
          <w:szCs w:val="24"/>
          <w:shd w:fill="FFFFFF" w:val="clear"/>
          <w:lang w:val="ru-RU" w:eastAsia="en-US"/>
        </w:rPr>
        <w:t xml:space="preserve"> </w:t>
      </w:r>
      <w:r>
        <w:rPr>
          <w:sz w:val="24"/>
          <w:szCs w:val="24"/>
          <w:shd w:fill="FFFFFF" w:val="clear"/>
          <w:lang w:val="ru-RU" w:eastAsia="en-US"/>
        </w:rPr>
        <w:t>«Субподрядчик»</w:t>
      </w:r>
      <w:r>
        <w:rPr>
          <w:b w:val="false"/>
          <w:sz w:val="24"/>
          <w:szCs w:val="24"/>
          <w:shd w:fill="FFFFFF" w:val="clear"/>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3"/>
        <w:keepNext w:val="false"/>
        <w:widowControl w:val="false"/>
        <w:tabs>
          <w:tab w:val="clear" w:pos="720"/>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указание на состав исходных данных, объем и состав Работ по Договору, а также требования Заказчика к выполнению Подрядчиком Работ по Договору в целом.</w:t>
      </w:r>
    </w:p>
    <w:p>
      <w:pPr>
        <w:pStyle w:val="3"/>
        <w:keepNext w:val="false"/>
        <w:widowControl w:val="false"/>
        <w:tabs>
          <w:tab w:val="clear" w:pos="720"/>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3"/>
        <w:keepNext w:val="false"/>
        <w:widowControl w:val="false"/>
        <w:tabs>
          <w:tab w:val="clear" w:pos="720"/>
          <w:tab w:val="left" w:pos="567" w:leader="none"/>
        </w:tabs>
        <w:overflowPunct w:val="true"/>
        <w:spacing w:before="0" w:after="0"/>
        <w:ind w:firstLine="708"/>
        <w:jc w:val="both"/>
        <w:textAlignment w:val="baseline"/>
        <w:rPr>
          <w:b w:val="false"/>
          <w:b w:val="false"/>
          <w:sz w:val="24"/>
          <w:szCs w:val="24"/>
          <w:lang w:val="ru-RU" w:eastAsia="en-US"/>
        </w:rPr>
      </w:pPr>
      <w:r>
        <w:rPr>
          <w:sz w:val="24"/>
          <w:szCs w:val="24"/>
          <w:lang w:val="ru-RU" w:eastAsia="en-US"/>
        </w:rPr>
        <w:t>«Этап Работ»</w:t>
      </w:r>
      <w:r>
        <w:rPr>
          <w:b w:val="false"/>
          <w:sz w:val="24"/>
          <w:szCs w:val="24"/>
          <w:lang w:val="ru-RU" w:eastAsia="en-US"/>
        </w:rPr>
        <w:t xml:space="preserve"> – законченный объем Работ, предусмотренный Календарным графиком выполнения Работ, который обладает признаками завершенности. </w:t>
      </w:r>
    </w:p>
    <w:p>
      <w:pPr>
        <w:pStyle w:val="3"/>
        <w:keepNext w:val="false"/>
        <w:widowControl w:val="false"/>
        <w:tabs>
          <w:tab w:val="clear" w:pos="720"/>
          <w:tab w:val="left" w:pos="567" w:leader="none"/>
        </w:tabs>
        <w:overflowPunct w:val="true"/>
        <w:spacing w:before="0" w:after="0"/>
        <w:ind w:firstLine="708"/>
        <w:jc w:val="both"/>
        <w:textAlignment w:val="baseline"/>
        <w:rPr>
          <w:bCs/>
          <w:sz w:val="24"/>
          <w:szCs w:val="24"/>
        </w:rPr>
      </w:pPr>
      <w:r>
        <w:rPr>
          <w:b w:val="false"/>
          <w:sz w:val="24"/>
          <w:szCs w:val="24"/>
          <w:lang w:val="ru-RU" w:eastAsia="en-US"/>
        </w:rPr>
        <w:t>Этап как технологически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sz w:val="24"/>
          <w:szCs w:val="24"/>
        </w:rPr>
        <w:t xml:space="preserve"> </w:t>
      </w:r>
    </w:p>
    <w:p>
      <w:pPr>
        <w:pStyle w:val="Normal"/>
        <w:spacing w:lineRule="auto" w:line="240"/>
        <w:rPr/>
      </w:pPr>
      <w:r>
        <w:rPr/>
      </w:r>
    </w:p>
    <w:p>
      <w:pPr>
        <w:pStyle w:val="ListParagraph"/>
        <w:numPr>
          <w:ilvl w:val="0"/>
          <w:numId w:val="1"/>
        </w:numPr>
        <w:shd w:val="clear" w:color="auto" w:fill="FFFFFF"/>
        <w:tabs>
          <w:tab w:val="clear" w:pos="720"/>
          <w:tab w:val="left" w:pos="284" w:leader="none"/>
        </w:tabs>
        <w:ind w:left="0" w:hanging="0"/>
        <w:jc w:val="center"/>
        <w:rPr>
          <w:b/>
          <w:b/>
          <w:bCs/>
        </w:rPr>
      </w:pPr>
      <w:r>
        <w:rPr>
          <w:b/>
          <w:bCs/>
        </w:rPr>
        <w:t>Предмет Договора</w:t>
      </w:r>
    </w:p>
    <w:p>
      <w:pPr>
        <w:pStyle w:val="ListParagraph"/>
        <w:numPr>
          <w:ilvl w:val="1"/>
          <w:numId w:val="1"/>
        </w:numPr>
        <w:shd w:val="clear" w:color="auto" w:fill="FFFFFF"/>
        <w:tabs>
          <w:tab w:val="clear" w:pos="720"/>
          <w:tab w:val="left" w:pos="1134" w:leader="none"/>
        </w:tabs>
        <w:ind w:left="0" w:firstLine="709"/>
        <w:jc w:val="both"/>
        <w:rPr>
          <w:bCs/>
        </w:rPr>
      </w:pPr>
      <w:bookmarkStart w:id="0"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bookmarkStart w:id="1" w:name="__DdeLink__1302_2324035875"/>
      <w:bookmarkEnd w:id="0"/>
      <w:r>
        <w:rPr>
          <w:b/>
          <w:bCs/>
          <w:i/>
        </w:rPr>
        <w:t>ОКДП2 42.22.12.110 Выполнение проектных работ (в том числе оформление правоустанавливающих документов на землю) по строительству объектов для технологического присоединения к электрическим сетям заявителя ООО «Специализированный застройщик Старк» (Q_25-ПЭС-6183 ПТП) в г. Владивостоке, Приморского края</w:t>
      </w:r>
      <w:bookmarkEnd w:id="1"/>
      <w:r>
        <w:rPr>
          <w:bCs/>
          <w:i/>
        </w:rPr>
        <w:t xml:space="preserve"> </w:t>
      </w:r>
      <w:r>
        <w:rPr>
          <w:bCs/>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1"/>
        </w:numPr>
        <w:shd w:val="clear" w:color="auto" w:fill="FFFFFF"/>
        <w:tabs>
          <w:tab w:val="clear" w:pos="720"/>
          <w:tab w:val="left" w:pos="1134" w:leader="none"/>
        </w:tabs>
        <w:ind w:left="0" w:firstLine="709"/>
        <w:jc w:val="both"/>
        <w:rPr>
          <w:bCs/>
        </w:rPr>
      </w:pPr>
      <w:r>
        <w:rPr>
          <w:bCs/>
        </w:rPr>
        <w:t>В состав Работ по Договору входят:</w:t>
      </w:r>
    </w:p>
    <w:p>
      <w:pPr>
        <w:pStyle w:val="ListParagraph"/>
        <w:numPr>
          <w:ilvl w:val="2"/>
          <w:numId w:val="1"/>
        </w:numPr>
        <w:shd w:val="clear" w:color="auto" w:fill="FFFFFF"/>
        <w:tabs>
          <w:tab w:val="clear" w:pos="720"/>
          <w:tab w:val="left" w:pos="1418" w:leader="none"/>
        </w:tabs>
        <w:ind w:left="0" w:firstLine="709"/>
        <w:jc w:val="both"/>
        <w:rPr>
          <w:bCs/>
        </w:rPr>
      </w:pPr>
      <w:r>
        <w:rPr>
          <w:bCs/>
        </w:rPr>
        <w:t>Оформление правоустанавливающих документов на земельные участки;</w:t>
      </w:r>
    </w:p>
    <w:p>
      <w:pPr>
        <w:pStyle w:val="ListParagraph"/>
        <w:numPr>
          <w:ilvl w:val="2"/>
          <w:numId w:val="1"/>
        </w:numPr>
        <w:shd w:val="clear" w:color="auto" w:fill="FFFFFF"/>
        <w:tabs>
          <w:tab w:val="clear" w:pos="720"/>
          <w:tab w:val="left" w:pos="1418" w:leader="none"/>
        </w:tabs>
        <w:ind w:left="0" w:firstLine="709"/>
        <w:jc w:val="both"/>
        <w:rPr>
          <w:bCs/>
        </w:rPr>
      </w:pPr>
      <w:r>
        <w:rPr>
          <w:bCs/>
        </w:rPr>
        <w:t>Выполнение и согласование с Заказчиком проектно-изыскательских работ.</w:t>
      </w:r>
    </w:p>
    <w:p>
      <w:pPr>
        <w:pStyle w:val="ListParagraph"/>
        <w:numPr>
          <w:ilvl w:val="1"/>
          <w:numId w:val="1"/>
        </w:numPr>
        <w:shd w:val="clear" w:color="auto" w:fill="FFFFFF"/>
        <w:tabs>
          <w:tab w:val="clear" w:pos="720"/>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1"/>
        </w:numPr>
        <w:shd w:val="clear" w:color="auto" w:fill="FFFFFF"/>
        <w:tabs>
          <w:tab w:val="clear" w:pos="720"/>
          <w:tab w:val="left" w:pos="1134" w:leader="none"/>
        </w:tabs>
        <w:ind w:left="0" w:firstLine="709"/>
        <w:jc w:val="both"/>
        <w:rPr>
          <w:bCs/>
        </w:rPr>
      </w:pPr>
      <w:r>
        <w:rPr>
          <w:bCs/>
        </w:rPr>
        <w:t>Работы по Договору выполняются для нужд филиала АО «ДРСК» «Приморские электрические сети».</w:t>
      </w:r>
    </w:p>
    <w:p>
      <w:pPr>
        <w:pStyle w:val="ListParagraph"/>
        <w:numPr>
          <w:ilvl w:val="1"/>
          <w:numId w:val="1"/>
        </w:numPr>
        <w:shd w:val="clear" w:color="auto" w:fill="FFFFFF"/>
        <w:tabs>
          <w:tab w:val="clear" w:pos="720"/>
          <w:tab w:val="left" w:pos="1134" w:leader="none"/>
        </w:tabs>
        <w:ind w:left="0" w:firstLine="709"/>
        <w:jc w:val="both"/>
        <w:rPr>
          <w:bCs/>
        </w:rPr>
      </w:pPr>
      <w:r>
        <w:rPr>
          <w:bCs/>
        </w:rPr>
        <w:t>Место выполнения Работ (в части Инженерных изысканий): Приморский край, г. Владивосток, ул. Калинина, в районе д. 111.</w:t>
      </w:r>
    </w:p>
    <w:p>
      <w:pPr>
        <w:pStyle w:val="ListParagraph"/>
        <w:numPr>
          <w:ilvl w:val="1"/>
          <w:numId w:val="1"/>
        </w:numPr>
        <w:shd w:val="clear" w:color="auto" w:fill="FFFFFF"/>
        <w:tabs>
          <w:tab w:val="clear" w:pos="720"/>
          <w:tab w:val="left" w:pos="1134" w:leader="none"/>
        </w:tabs>
        <w:ind w:left="0" w:firstLine="709"/>
        <w:jc w:val="both"/>
        <w:rPr>
          <w:bCs/>
        </w:rPr>
      </w:pPr>
      <w:bookmarkStart w:id="2" w:name="_Ref361320424"/>
      <w:bookmarkEnd w:id="2"/>
      <w:r>
        <w:rPr>
          <w:bCs/>
        </w:rPr>
        <w:t>Работы выполняются Подрядчиком в следующие сроки:</w:t>
      </w:r>
    </w:p>
    <w:p>
      <w:pPr>
        <w:pStyle w:val="ListParagraph"/>
        <w:numPr>
          <w:ilvl w:val="2"/>
          <w:numId w:val="1"/>
        </w:numPr>
        <w:shd w:val="clear" w:color="auto" w:fill="FFFFFF"/>
        <w:tabs>
          <w:tab w:val="clear" w:pos="720"/>
          <w:tab w:val="left" w:pos="1418" w:leader="none"/>
        </w:tabs>
        <w:ind w:left="0" w:firstLine="709"/>
        <w:jc w:val="both"/>
        <w:rPr/>
      </w:pPr>
      <w:r>
        <w:rPr>
          <w:bCs/>
        </w:rPr>
        <w:t xml:space="preserve">начало выполнения Работ: </w:t>
      </w:r>
      <w:r>
        <w:rPr>
          <w:b/>
          <w:i/>
        </w:rPr>
        <w:t>с даты заключения договора</w:t>
      </w:r>
      <w:r>
        <w:rPr/>
        <w:t>;</w:t>
      </w:r>
    </w:p>
    <w:p>
      <w:pPr>
        <w:pStyle w:val="ListParagraph"/>
        <w:numPr>
          <w:ilvl w:val="2"/>
          <w:numId w:val="1"/>
        </w:numPr>
        <w:shd w:val="clear" w:color="auto" w:fill="FFFFFF"/>
        <w:tabs>
          <w:tab w:val="clear" w:pos="720"/>
          <w:tab w:val="left" w:pos="1418" w:leader="none"/>
        </w:tabs>
        <w:ind w:left="0" w:firstLine="709"/>
        <w:jc w:val="both"/>
        <w:rPr/>
      </w:pPr>
      <w:r>
        <w:rPr>
          <w:bCs/>
        </w:rPr>
        <w:t xml:space="preserve">окончание выполнения Работ: </w:t>
      </w:r>
      <w:r>
        <w:rPr>
          <w:b/>
          <w:i/>
        </w:rPr>
        <w:t>в течение 90 календарных дней с даты заключения договора</w:t>
      </w:r>
      <w:r>
        <w:rPr/>
        <w:t>.</w:t>
      </w:r>
    </w:p>
    <w:p>
      <w:pPr>
        <w:pStyle w:val="ListParagraph"/>
        <w:numPr>
          <w:ilvl w:val="1"/>
          <w:numId w:val="1"/>
        </w:numPr>
        <w:shd w:val="clear" w:color="auto" w:fill="FFFFFF"/>
        <w:tabs>
          <w:tab w:val="clear" w:pos="720"/>
          <w:tab w:val="left" w:pos="142" w:leader="none"/>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1.6 Договора. </w:t>
      </w:r>
    </w:p>
    <w:p>
      <w:pPr>
        <w:pStyle w:val="ListParagraph"/>
        <w:numPr>
          <w:ilvl w:val="1"/>
          <w:numId w:val="1"/>
        </w:numPr>
        <w:shd w:val="clear" w:color="auto" w:fill="FFFFFF"/>
        <w:tabs>
          <w:tab w:val="clear" w:pos="720"/>
          <w:tab w:val="left" w:pos="142" w:leader="none"/>
          <w:tab w:val="left" w:pos="1134" w:leader="none"/>
        </w:tabs>
        <w:ind w:left="0" w:firstLine="709"/>
        <w:jc w:val="both"/>
        <w:rPr>
          <w:bCs/>
        </w:rPr>
      </w:pPr>
      <w:r>
        <w:rPr>
          <w:bCs/>
        </w:rPr>
        <w:t>Настоящий Договор заключается для выполнения мероприятий по реализации инвестиционного проекта: Q_25-ПЭС-6183 ПТП Разработка проектной документации по реконструкции ПС 110 кВ Чуркин с монтажом ячейки 6 кВ и строительством КЛ 6 кВ - 0,3 км (ООО СЗ Старк ТПр 3462/25).</w:t>
      </w:r>
    </w:p>
    <w:p>
      <w:pPr>
        <w:pStyle w:val="ListParagraph"/>
        <w:numPr>
          <w:ilvl w:val="1"/>
          <w:numId w:val="1"/>
        </w:numPr>
        <w:shd w:val="clear" w:color="auto" w:fill="FFFFFF"/>
        <w:tabs>
          <w:tab w:val="clear" w:pos="720"/>
          <w:tab w:val="left" w:pos="142" w:leader="none"/>
          <w:tab w:val="left" w:pos="993" w:leader="none"/>
          <w:tab w:val="left" w:pos="1134" w:leader="none"/>
        </w:tabs>
        <w:ind w:left="0" w:firstLine="709"/>
        <w:jc w:val="both"/>
        <w:rPr>
          <w:b/>
          <w:b/>
          <w:i/>
          <w:i/>
          <w:color w:val="000000" w:themeColor="text1"/>
        </w:rPr>
      </w:pPr>
      <w:r>
        <w:rPr>
          <w:bCs/>
        </w:rPr>
        <w:t xml:space="preserve">Настоящий Договор заключается в целях исполнения обязательств Заказчика по технологическому присоединению к электрическим сетям АО «ДРСК» объекта Заявителя </w:t>
      </w:r>
      <w:r>
        <w:rPr>
          <w:iCs/>
        </w:rPr>
        <w:t>«строительство многофункционального апартаментно-жилого комплекса на территории города Владивостока» расположенная по адресу</w:t>
      </w:r>
      <w:r>
        <w:rPr/>
        <w:t xml:space="preserve"> Приморский край, г. Владивосток, ул. Калинина, в районе д. 111, кадастровый номер: 25:28:030006:7323; 1600 кВт, 6 кВ, по договору ТП № 372 от 03.09.25 с </w:t>
      </w:r>
      <w:r>
        <w:rPr>
          <w:b/>
          <w:i/>
        </w:rPr>
        <w:t>ООО «Специализированный застройщик Старк»</w:t>
      </w:r>
      <w:r>
        <w:rPr>
          <w:b/>
          <w:bCs/>
          <w:i/>
          <w:iCs/>
        </w:rPr>
        <w:t>.</w:t>
      </w:r>
    </w:p>
    <w:p>
      <w:pPr>
        <w:pStyle w:val="ListParagraph"/>
        <w:shd w:val="clear" w:color="auto" w:fill="FFFFFF"/>
        <w:tabs>
          <w:tab w:val="clear" w:pos="720"/>
          <w:tab w:val="left" w:pos="1134" w:leader="none"/>
        </w:tabs>
        <w:ind w:left="0" w:firstLine="709"/>
        <w:jc w:val="both"/>
        <w:rPr>
          <w:bCs/>
        </w:rPr>
      </w:pPr>
      <w:r>
        <w:rPr>
          <w:bCs/>
        </w:rPr>
      </w:r>
    </w:p>
    <w:p>
      <w:pPr>
        <w:pStyle w:val="ListParagraph"/>
        <w:numPr>
          <w:ilvl w:val="0"/>
          <w:numId w:val="1"/>
        </w:numPr>
        <w:shd w:val="clear" w:color="auto" w:fill="FFFFFF"/>
        <w:tabs>
          <w:tab w:val="clear" w:pos="720"/>
          <w:tab w:val="left" w:pos="284" w:leader="none"/>
        </w:tabs>
        <w:ind w:left="0" w:hanging="0"/>
        <w:jc w:val="center"/>
        <w:rPr>
          <w:b/>
          <w:b/>
          <w:bCs/>
        </w:rPr>
      </w:pPr>
      <w:r>
        <w:rPr>
          <w:b/>
          <w:bCs/>
        </w:rPr>
        <w:t xml:space="preserve">Права и обязанности Сторон </w:t>
      </w:r>
    </w:p>
    <w:p>
      <w:pPr>
        <w:pStyle w:val="ListParagraph"/>
        <w:numPr>
          <w:ilvl w:val="1"/>
          <w:numId w:val="1"/>
        </w:numPr>
        <w:shd w:val="clear" w:color="auto" w:fill="FFFFFF"/>
        <w:tabs>
          <w:tab w:val="clear" w:pos="720"/>
          <w:tab w:val="left" w:pos="1134" w:leader="none"/>
        </w:tabs>
        <w:ind w:left="0" w:firstLine="709"/>
        <w:jc w:val="both"/>
        <w:rPr>
          <w:bCs/>
        </w:rPr>
      </w:pPr>
      <w:r>
        <w:rPr>
          <w:bCs/>
          <w:u w:val="single"/>
        </w:rPr>
        <w:t>Заказчик обязан</w:t>
      </w:r>
      <w:r>
        <w:rPr>
          <w:bCs/>
        </w:rPr>
        <w:t>:</w:t>
      </w:r>
    </w:p>
    <w:p>
      <w:pPr>
        <w:pStyle w:val="ListParagraph"/>
        <w:numPr>
          <w:ilvl w:val="2"/>
          <w:numId w:val="1"/>
        </w:numPr>
        <w:shd w:val="clear" w:color="auto" w:fill="FFFFFF"/>
        <w:tabs>
          <w:tab w:val="clear" w:pos="720"/>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1"/>
        </w:numPr>
        <w:shd w:val="clear" w:color="auto" w:fill="FFFFFF"/>
        <w:tabs>
          <w:tab w:val="clear" w:pos="720"/>
          <w:tab w:val="left" w:pos="1418" w:leader="none"/>
        </w:tabs>
        <w:ind w:left="0" w:firstLine="709"/>
        <w:jc w:val="both"/>
        <w:rPr/>
      </w:pPr>
      <w:r>
        <w:rPr>
          <w:bCs/>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20"/>
          <w:tab w:val="left" w:pos="709" w:leader="none"/>
          <w:tab w:val="left" w:pos="1418" w:leader="none"/>
        </w:tabs>
        <w:ind w:left="0" w:firstLine="709"/>
        <w:jc w:val="both"/>
        <w:rPr/>
      </w:pPr>
      <w:r>
        <w:rPr/>
        <w:t xml:space="preserve">место производства Работ, место (помещение) для складирования </w:t>
      </w:r>
      <w:r>
        <w:rPr>
          <w:bCs/>
        </w:rPr>
        <w:t>Материально-технических ресурсов и оборудования</w:t>
      </w:r>
      <w:r>
        <w:rPr/>
        <w:t xml:space="preserve"> по соответствующим актам сдачи-приемки (Приложение № 4.1 к Договору);</w:t>
      </w:r>
    </w:p>
    <w:p>
      <w:pPr>
        <w:pStyle w:val="ListParagraph"/>
        <w:numPr>
          <w:ilvl w:val="0"/>
          <w:numId w:val="5"/>
        </w:numPr>
        <w:shd w:val="clear" w:color="auto" w:fill="FFFFFF"/>
        <w:tabs>
          <w:tab w:val="clear" w:pos="720"/>
          <w:tab w:val="left" w:pos="709" w:leader="none"/>
          <w:tab w:val="left" w:pos="1418" w:leader="none"/>
        </w:tabs>
        <w:ind w:left="0" w:firstLine="709"/>
        <w:jc w:val="both"/>
        <w:rPr/>
      </w:pPr>
      <w:bookmarkStart w:id="3" w:name="_Ref361320734"/>
      <w:bookmarkStart w:id="4" w:name="_Ref361401696"/>
      <w:bookmarkStart w:id="5" w:name="_Ref361396847"/>
      <w:bookmarkEnd w:id="3"/>
      <w:bookmarkEnd w:id="4"/>
      <w:bookmarkEnd w:id="5"/>
      <w:r>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4.2 к Договору).</w:t>
      </w:r>
    </w:p>
    <w:p>
      <w:pPr>
        <w:pStyle w:val="ListParagraph"/>
        <w:numPr>
          <w:ilvl w:val="2"/>
          <w:numId w:val="1"/>
        </w:numPr>
        <w:shd w:val="clear" w:color="auto" w:fill="FFFFFF"/>
        <w:tabs>
          <w:tab w:val="clear" w:pos="720"/>
          <w:tab w:val="left" w:pos="1418" w:leader="none"/>
        </w:tabs>
        <w:ind w:left="0" w:firstLine="709"/>
        <w:jc w:val="both"/>
        <w:rPr>
          <w:bCs/>
        </w:rPr>
      </w:pPr>
      <w:r>
        <w:rPr>
          <w:bCs/>
        </w:rPr>
        <w:t>При наличии технической возможности обеспечить Подрядчику возможность подключения к имеющимся у Заказчика бытовым источникам электроснабжения, водоснабжения, канализации для целей выполнения Работ по Договору (в части Инженерных изысканий).</w:t>
      </w:r>
    </w:p>
    <w:p>
      <w:pPr>
        <w:pStyle w:val="ListParagraph"/>
        <w:numPr>
          <w:ilvl w:val="2"/>
          <w:numId w:val="1"/>
        </w:numPr>
        <w:shd w:val="clear" w:color="auto" w:fill="FFFFFF"/>
        <w:tabs>
          <w:tab w:val="clear" w:pos="720"/>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1"/>
        </w:numPr>
        <w:shd w:val="clear" w:color="auto" w:fill="FFFFFF"/>
        <w:tabs>
          <w:tab w:val="clear" w:pos="720"/>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1"/>
        </w:numPr>
        <w:shd w:val="clear" w:color="auto" w:fill="FFFFFF"/>
        <w:tabs>
          <w:tab w:val="clear" w:pos="720"/>
          <w:tab w:val="left" w:pos="709" w:leader="none"/>
        </w:tabs>
        <w:ind w:left="0" w:firstLine="710"/>
        <w:jc w:val="both"/>
        <w:rPr>
          <w:bCs/>
        </w:rPr>
      </w:pPr>
      <w:r>
        <w:rPr>
          <w:bCs/>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1"/>
        </w:numPr>
        <w:shd w:val="clear" w:color="auto" w:fill="FFFFFF"/>
        <w:tabs>
          <w:tab w:val="clear" w:pos="720"/>
          <w:tab w:val="left" w:pos="709" w:leader="none"/>
        </w:tabs>
        <w:ind w:left="0" w:firstLine="709"/>
        <w:jc w:val="both"/>
        <w:rPr>
          <w:bCs/>
        </w:rPr>
      </w:pPr>
      <w:r>
        <w:rPr>
          <w:bCs/>
        </w:rPr>
        <w:t>Выполнять иные обязанности, предусмотренные Договором.</w:t>
      </w:r>
    </w:p>
    <w:p>
      <w:pPr>
        <w:pStyle w:val="ListParagraph"/>
        <w:numPr>
          <w:ilvl w:val="2"/>
          <w:numId w:val="1"/>
        </w:numPr>
        <w:shd w:val="clear" w:color="auto" w:fill="FFFFFF"/>
        <w:tabs>
          <w:tab w:val="clear" w:pos="720"/>
          <w:tab w:val="left" w:pos="709" w:leader="none"/>
        </w:tabs>
        <w:ind w:left="0" w:firstLine="709"/>
        <w:jc w:val="both"/>
        <w:rPr/>
      </w:pPr>
      <w:r>
        <w:rPr/>
        <w:t xml:space="preserve">Не позднее 2 рабочих дней с момента получения от Подрядчика уведомления, указанного в пункте 2.3.11.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Normal"/>
        <w:tabs>
          <w:tab w:val="clear" w:pos="720"/>
          <w:tab w:val="left" w:pos="709" w:leader="none"/>
        </w:tabs>
        <w:spacing w:lineRule="auto" w:line="240"/>
        <w:ind w:hanging="0"/>
        <w:rPr>
          <w:b/>
          <w:b/>
          <w:sz w:val="24"/>
          <w:szCs w:val="24"/>
        </w:rPr>
      </w:pPr>
      <w:r>
        <w:rPr>
          <w:b/>
          <w:sz w:val="24"/>
          <w:szCs w:val="24"/>
        </w:rPr>
      </w:r>
    </w:p>
    <w:p>
      <w:pPr>
        <w:pStyle w:val="ListParagraph"/>
        <w:numPr>
          <w:ilvl w:val="1"/>
          <w:numId w:val="1"/>
        </w:numPr>
        <w:shd w:val="clear" w:color="auto" w:fill="FFFFFF"/>
        <w:tabs>
          <w:tab w:val="clear" w:pos="720"/>
          <w:tab w:val="left" w:pos="1134" w:leader="none"/>
        </w:tabs>
        <w:ind w:left="0" w:firstLine="709"/>
        <w:jc w:val="both"/>
        <w:rPr>
          <w:bCs/>
        </w:rPr>
      </w:pPr>
      <w:r>
        <w:rPr>
          <w:bCs/>
          <w:u w:val="single"/>
        </w:rPr>
        <w:t>Заказчик имеет право</w:t>
      </w:r>
      <w:r>
        <w:rPr>
          <w:bCs/>
        </w:rPr>
        <w:t>:</w:t>
      </w:r>
    </w:p>
    <w:p>
      <w:pPr>
        <w:pStyle w:val="ListParagraph"/>
        <w:numPr>
          <w:ilvl w:val="2"/>
          <w:numId w:val="1"/>
        </w:numPr>
        <w:shd w:val="clear" w:color="auto" w:fill="FFFFFF"/>
        <w:tabs>
          <w:tab w:val="clear" w:pos="720"/>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1"/>
        </w:numPr>
        <w:shd w:val="clear" w:color="auto" w:fill="FFFFFF"/>
        <w:tabs>
          <w:tab w:val="clear" w:pos="720"/>
          <w:tab w:val="left" w:pos="1418" w:leader="none"/>
        </w:tabs>
        <w:ind w:left="0" w:firstLine="709"/>
        <w:jc w:val="both"/>
        <w:rPr>
          <w:bCs/>
        </w:rPr>
      </w:pPr>
      <w:r>
        <w:rPr>
          <w:bCs/>
        </w:rPr>
        <w:t>Круглосуточно осуществлять доступ к месту производства Работ.</w:t>
      </w:r>
    </w:p>
    <w:p>
      <w:pPr>
        <w:pStyle w:val="ListParagraph"/>
        <w:numPr>
          <w:ilvl w:val="2"/>
          <w:numId w:val="1"/>
        </w:numPr>
        <w:shd w:val="clear" w:color="auto" w:fill="FFFFFF"/>
        <w:tabs>
          <w:tab w:val="clear" w:pos="720"/>
          <w:tab w:val="left" w:pos="1418" w:leader="none"/>
        </w:tabs>
        <w:ind w:left="0" w:firstLine="709"/>
        <w:jc w:val="both"/>
        <w:rPr>
          <w:bCs/>
        </w:rPr>
      </w:pPr>
      <w:bookmarkStart w:id="6"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Pr>
          <w:bCs/>
        </w:rPr>
        <w:t xml:space="preserve"> </w:t>
      </w:r>
    </w:p>
    <w:p>
      <w:pPr>
        <w:pStyle w:val="ListParagraph"/>
        <w:numPr>
          <w:ilvl w:val="2"/>
          <w:numId w:val="1"/>
        </w:numPr>
        <w:shd w:val="clear" w:color="auto" w:fill="FFFFFF"/>
        <w:tabs>
          <w:tab w:val="clear" w:pos="720"/>
          <w:tab w:val="left" w:pos="1418" w:leader="none"/>
        </w:tabs>
        <w:ind w:left="0" w:firstLine="709"/>
        <w:jc w:val="both"/>
        <w:rPr>
          <w:bCs/>
        </w:rPr>
      </w:pPr>
      <w:bookmarkStart w:id="7" w:name="_Ref361334468"/>
      <w:bookmarkEnd w:id="7"/>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1"/>
        </w:numPr>
        <w:shd w:val="clear" w:color="auto" w:fill="FFFFFF"/>
        <w:tabs>
          <w:tab w:val="clear" w:pos="720"/>
          <w:tab w:val="left" w:pos="1418" w:leader="none"/>
        </w:tabs>
        <w:ind w:left="0" w:firstLine="709"/>
        <w:jc w:val="both"/>
        <w:rPr>
          <w:bCs/>
        </w:rPr>
      </w:pPr>
      <w:bookmarkStart w:id="8"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8"/>
      <w:r>
        <w:rPr>
          <w:bCs/>
        </w:rPr>
        <w:t xml:space="preserve"> </w:t>
      </w:r>
    </w:p>
    <w:p>
      <w:pPr>
        <w:pStyle w:val="ListParagraph"/>
        <w:numPr>
          <w:ilvl w:val="2"/>
          <w:numId w:val="1"/>
        </w:numPr>
        <w:shd w:val="clear" w:color="auto" w:fill="FFFFFF"/>
        <w:tabs>
          <w:tab w:val="clear" w:pos="720"/>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1"/>
        </w:numPr>
        <w:shd w:val="clear" w:color="auto" w:fill="FFFFFF"/>
        <w:tabs>
          <w:tab w:val="clear" w:pos="720"/>
          <w:tab w:val="left" w:pos="1418" w:leader="none"/>
        </w:tabs>
        <w:ind w:left="0" w:firstLine="710"/>
        <w:jc w:val="both"/>
        <w:rPr>
          <w:bCs/>
        </w:rPr>
      </w:pPr>
      <w:r>
        <w:rPr>
          <w:bCs/>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 по отдельным Этапам Работ.</w:t>
      </w:r>
    </w:p>
    <w:p>
      <w:pPr>
        <w:pStyle w:val="ListParagraph"/>
        <w:numPr>
          <w:ilvl w:val="2"/>
          <w:numId w:val="1"/>
        </w:numPr>
        <w:shd w:val="clear" w:color="auto" w:fill="FFFFFF"/>
        <w:tabs>
          <w:tab w:val="clear" w:pos="720"/>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pPr>
        <w:pStyle w:val="ListParagraph"/>
        <w:numPr>
          <w:ilvl w:val="2"/>
          <w:numId w:val="1"/>
        </w:numPr>
        <w:shd w:val="clear" w:color="auto" w:fill="FFFFFF"/>
        <w:tabs>
          <w:tab w:val="clear" w:pos="720"/>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Normal"/>
        <w:spacing w:lineRule="auto" w:line="240"/>
        <w:ind w:firstLine="709"/>
        <w:rPr>
          <w:bCs/>
          <w:sz w:val="24"/>
          <w:szCs w:val="24"/>
        </w:rPr>
      </w:pPr>
      <w:r>
        <w:rPr>
          <w:bCs/>
          <w:sz w:val="24"/>
          <w:szCs w:val="24"/>
        </w:rPr>
        <w:t>2.2.10. В случае нарушения Подрядчиком п.2.3.11 настоящего договора Заказчик имеет право:</w:t>
      </w:r>
    </w:p>
    <w:p>
      <w:pPr>
        <w:pStyle w:val="Normal"/>
        <w:spacing w:lineRule="auto" w:line="240"/>
        <w:ind w:firstLine="709"/>
        <w:rPr>
          <w:bCs/>
          <w:sz w:val="24"/>
          <w:szCs w:val="24"/>
        </w:rPr>
      </w:pPr>
      <w:r>
        <w:rPr>
          <w:bCs/>
          <w:sz w:val="24"/>
          <w:szCs w:val="24"/>
        </w:rPr>
        <w:t>-о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2.3.11 договора,</w:t>
      </w:r>
    </w:p>
    <w:p>
      <w:pPr>
        <w:pStyle w:val="Normal"/>
        <w:spacing w:lineRule="auto" w:line="240"/>
        <w:ind w:firstLine="709"/>
        <w:rPr>
          <w:bCs/>
          <w:sz w:val="24"/>
          <w:szCs w:val="24"/>
        </w:rPr>
      </w:pPr>
      <w:r>
        <w:rPr>
          <w:bCs/>
          <w:sz w:val="24"/>
          <w:szCs w:val="24"/>
        </w:rPr>
        <w:t>либо</w:t>
      </w:r>
    </w:p>
    <w:p>
      <w:pPr>
        <w:pStyle w:val="Normal"/>
        <w:spacing w:lineRule="auto" w:line="240"/>
        <w:ind w:firstLine="709"/>
        <w:rPr>
          <w:sz w:val="24"/>
          <w:szCs w:val="24"/>
        </w:rPr>
      </w:pPr>
      <w:r>
        <w:rPr>
          <w:bCs/>
          <w:sz w:val="24"/>
          <w:szCs w:val="24"/>
        </w:rPr>
        <w:t>- допустить работников Подрядчика к работам в соответствии с п.2.1.8</w:t>
      </w:r>
      <w:r>
        <w:rPr>
          <w:sz w:val="24"/>
          <w:szCs w:val="24"/>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Normal"/>
        <w:spacing w:lineRule="auto" w:line="240"/>
        <w:ind w:firstLine="709"/>
        <w:rPr/>
      </w:pPr>
      <w:r>
        <w:rPr>
          <w:sz w:val="24"/>
          <w:szCs w:val="24"/>
        </w:rPr>
        <w:t>2.2.11. В любое время т</w:t>
      </w:r>
      <w:r>
        <w:rPr>
          <w:bCs/>
          <w:sz w:val="24"/>
          <w:szCs w:val="24"/>
        </w:rPr>
        <w:t xml:space="preserve">ребовать от Подрядчика представления информации о наличии </w:t>
      </w:r>
      <w:r>
        <w:rPr>
          <w:sz w:val="24"/>
          <w:szCs w:val="24"/>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Cs/>
          <w:sz w:val="24"/>
          <w:szCs w:val="24"/>
        </w:rPr>
        <w:t>.</w:t>
      </w:r>
    </w:p>
    <w:p>
      <w:pPr>
        <w:pStyle w:val="ListParagraph"/>
        <w:shd w:val="clear" w:color="auto" w:fill="FFFFFF"/>
        <w:tabs>
          <w:tab w:val="clear" w:pos="720"/>
          <w:tab w:val="left" w:pos="567" w:leader="none"/>
        </w:tabs>
        <w:ind w:left="0" w:firstLine="567"/>
        <w:jc w:val="both"/>
        <w:rPr>
          <w:bCs/>
          <w:color w:val="FF0000"/>
        </w:rPr>
      </w:pPr>
      <w:r>
        <w:rPr>
          <w:bCs/>
          <w:color w:val="FF0000"/>
        </w:rPr>
      </w:r>
    </w:p>
    <w:p>
      <w:pPr>
        <w:pStyle w:val="ListParagraph"/>
        <w:numPr>
          <w:ilvl w:val="1"/>
          <w:numId w:val="1"/>
        </w:numPr>
        <w:shd w:val="clear" w:color="auto" w:fill="FFFFFF"/>
        <w:tabs>
          <w:tab w:val="clear" w:pos="720"/>
          <w:tab w:val="left" w:pos="1134" w:leader="none"/>
        </w:tabs>
        <w:ind w:left="0" w:firstLine="709"/>
        <w:jc w:val="both"/>
        <w:rPr>
          <w:bCs/>
        </w:rPr>
      </w:pPr>
      <w:r>
        <w:rPr>
          <w:bCs/>
          <w:u w:val="single"/>
        </w:rPr>
        <w:t>Подрядчик обязан</w:t>
      </w:r>
      <w:r>
        <w:rPr>
          <w:bCs/>
        </w:rPr>
        <w:t>:</w:t>
      </w:r>
    </w:p>
    <w:p>
      <w:pPr>
        <w:pStyle w:val="ListParagraph"/>
        <w:numPr>
          <w:ilvl w:val="2"/>
          <w:numId w:val="1"/>
        </w:numPr>
        <w:shd w:val="clear" w:color="auto" w:fill="FFFFFF"/>
        <w:tabs>
          <w:tab w:val="clear" w:pos="720"/>
          <w:tab w:val="left" w:pos="1418" w:leader="none"/>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1"/>
        </w:numPr>
        <w:shd w:val="clear" w:color="auto" w:fill="FFFFFF"/>
        <w:tabs>
          <w:tab w:val="clear" w:pos="720"/>
          <w:tab w:val="left" w:pos="1418" w:leader="none"/>
        </w:tabs>
        <w:ind w:left="0" w:firstLine="709"/>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5"/>
        </w:numPr>
        <w:shd w:val="clear" w:color="auto" w:fill="FFFFFF"/>
        <w:tabs>
          <w:tab w:val="clear" w:pos="720"/>
          <w:tab w:val="left" w:pos="1418" w:leader="none"/>
        </w:tabs>
        <w:ind w:left="0" w:firstLine="709"/>
        <w:jc w:val="both"/>
        <w:rPr>
          <w:bCs/>
        </w:rPr>
      </w:pPr>
      <w:r>
        <w:rPr>
          <w:bCs/>
        </w:rPr>
        <w:t>место производства Работ, место (помещение) для складирования Материально-технических ресурсов и оборудования, по соответствующим актам сдачи-приемки (Приложение № 4.1 к Договору);</w:t>
      </w:r>
    </w:p>
    <w:p>
      <w:pPr>
        <w:pStyle w:val="ListParagraph"/>
        <w:numPr>
          <w:ilvl w:val="0"/>
          <w:numId w:val="15"/>
        </w:numPr>
        <w:shd w:val="clear" w:color="auto" w:fill="FFFFFF"/>
        <w:tabs>
          <w:tab w:val="clear" w:pos="720"/>
          <w:tab w:val="left" w:pos="1418" w:leader="none"/>
        </w:tabs>
        <w:ind w:left="0" w:firstLine="709"/>
        <w:jc w:val="both"/>
        <w:rPr>
          <w:bCs/>
        </w:rPr>
      </w:pPr>
      <w:r>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4.2 к Договору).</w:t>
      </w:r>
    </w:p>
    <w:p>
      <w:pPr>
        <w:pStyle w:val="ListParagraph"/>
        <w:numPr>
          <w:ilvl w:val="2"/>
          <w:numId w:val="1"/>
        </w:numPr>
        <w:shd w:val="clear" w:color="auto" w:fill="FFFFFF"/>
        <w:tabs>
          <w:tab w:val="clear" w:pos="720"/>
          <w:tab w:val="left" w:pos="1418" w:leader="none"/>
        </w:tabs>
        <w:ind w:left="0" w:firstLine="709"/>
        <w:jc w:val="both"/>
        <w:rPr>
          <w:bCs/>
        </w:rPr>
      </w:pPr>
      <w:r>
        <w:rPr>
          <w:bCs/>
        </w:rPr>
        <w:t>При приемке Места производства Работ</w:t>
      </w:r>
      <w:r>
        <w:rPr/>
        <w:t>,</w:t>
      </w:r>
      <w:r>
        <w:rPr>
          <w:bCs/>
        </w:rPr>
        <w:t xml:space="preserve"> места (помещения) для складирования Материально-технических ресурсов и оборудования,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w:t>
      </w:r>
      <w:r>
        <w:rPr/>
        <w:t xml:space="preserve"> </w:t>
      </w:r>
      <w:r>
        <w:rPr>
          <w:bCs/>
        </w:rPr>
        <w:t>складируемых Материально-технических ресурсов и оборудования.</w:t>
      </w:r>
    </w:p>
    <w:p>
      <w:pPr>
        <w:pStyle w:val="ListParagraph"/>
        <w:shd w:val="clear" w:color="auto" w:fill="FFFFFF"/>
        <w:tabs>
          <w:tab w:val="clear" w:pos="720"/>
          <w:tab w:val="left" w:pos="709" w:leader="none"/>
        </w:tabs>
        <w:ind w:left="0" w:firstLine="709"/>
        <w:jc w:val="both"/>
        <w:rPr>
          <w:bCs/>
        </w:rPr>
      </w:pPr>
      <w: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w:t>
      </w:r>
    </w:p>
    <w:p>
      <w:pPr>
        <w:pStyle w:val="ListParagraph"/>
        <w:numPr>
          <w:ilvl w:val="2"/>
          <w:numId w:val="1"/>
        </w:numPr>
        <w:shd w:val="clear" w:color="auto" w:fill="FFFFFF"/>
        <w:tabs>
          <w:tab w:val="clear" w:pos="720"/>
          <w:tab w:val="left" w:pos="1418" w:leader="none"/>
        </w:tabs>
        <w:ind w:left="0" w:firstLine="709"/>
        <w:jc w:val="both"/>
        <w:rPr>
          <w:bCs/>
        </w:rPr>
      </w:pPr>
      <w:r>
        <w:rPr>
          <w:bCs/>
        </w:rPr>
        <w:t>Выдать замечания в отношении технической и иной документации, предоставленной Заказчиком, в течение 10 (десяти) рабочих дней с даты принятия ее по Акту сдачи-приемки технической и иной документации (Приложение № 4.2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1"/>
        </w:numPr>
        <w:tabs>
          <w:tab w:val="clear" w:pos="720"/>
          <w:tab w:val="left" w:pos="709" w:leader="none"/>
          <w:tab w:val="left" w:pos="1430" w:leader="none"/>
        </w:tabs>
        <w:spacing w:lineRule="auto" w:line="240"/>
        <w:ind w:left="0" w:firstLine="709"/>
        <w:rPr>
          <w:bCs/>
          <w:sz w:val="24"/>
          <w:szCs w:val="24"/>
        </w:rPr>
      </w:pPr>
      <w:r>
        <w:rPr>
          <w:bCs/>
          <w:sz w:val="24"/>
          <w:szCs w:val="24"/>
        </w:rPr>
        <w:t>В случае недостаточности для производства Работ по Договору в части Инженерных изысканий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w:t>
      </w:r>
    </w:p>
    <w:p>
      <w:pPr>
        <w:pStyle w:val="Normal"/>
        <w:widowControl w:val="false"/>
        <w:numPr>
          <w:ilvl w:val="2"/>
          <w:numId w:val="1"/>
        </w:numPr>
        <w:tabs>
          <w:tab w:val="clear" w:pos="720"/>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1 к Договору) должен предоставить Заказчик.</w:t>
      </w:r>
    </w:p>
    <w:p>
      <w:pPr>
        <w:pStyle w:val="ListParagraph"/>
        <w:numPr>
          <w:ilvl w:val="2"/>
          <w:numId w:val="1"/>
        </w:numPr>
        <w:shd w:val="clear" w:color="auto" w:fill="FFFFFF"/>
        <w:tabs>
          <w:tab w:val="clear" w:pos="720"/>
          <w:tab w:val="left" w:pos="1418" w:leader="none"/>
        </w:tabs>
        <w:ind w:left="0" w:firstLine="709"/>
        <w:jc w:val="both"/>
        <w:rPr>
          <w:bCs/>
        </w:rPr>
      </w:pPr>
      <w:r>
        <w:rPr/>
        <w:t>До фактического начала выполнения Работ предоставить Заказчику</w:t>
      </w:r>
      <w:r>
        <w:rPr>
          <w:bCs/>
        </w:rPr>
        <w:t>:</w:t>
      </w:r>
    </w:p>
    <w:p>
      <w:pPr>
        <w:pStyle w:val="ListParagraph"/>
        <w:numPr>
          <w:ilvl w:val="0"/>
          <w:numId w:val="12"/>
        </w:numPr>
        <w:shd w:val="clear" w:color="auto" w:fill="FFFFFF"/>
        <w:tabs>
          <w:tab w:val="clear" w:pos="720"/>
          <w:tab w:val="left" w:pos="1418" w:leader="none"/>
        </w:tabs>
        <w:ind w:left="0" w:firstLine="709"/>
        <w:jc w:val="both"/>
        <w:rPr/>
      </w:pPr>
      <w:r>
        <w:rPr/>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r>
        <w:rPr>
          <w:bCs/>
        </w:rPr>
        <w:t xml:space="preserve">; </w:t>
      </w:r>
    </w:p>
    <w:p>
      <w:pPr>
        <w:pStyle w:val="ListParagraph"/>
        <w:numPr>
          <w:ilvl w:val="0"/>
          <w:numId w:val="12"/>
        </w:numPr>
        <w:shd w:val="clear" w:color="auto" w:fill="FFFFFF"/>
        <w:tabs>
          <w:tab w:val="clear" w:pos="720"/>
          <w:tab w:val="left" w:pos="1418"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1"/>
        </w:numPr>
        <w:shd w:val="clear" w:color="auto" w:fill="FFFFFF"/>
        <w:tabs>
          <w:tab w:val="clear" w:pos="720"/>
          <w:tab w:val="left" w:pos="1418" w:leader="none"/>
        </w:tabs>
        <w:ind w:left="0" w:firstLine="709"/>
        <w:jc w:val="both"/>
        <w:rPr>
          <w:bCs/>
        </w:rPr>
      </w:pPr>
      <w:r>
        <w:rPr>
          <w:bCs/>
        </w:rPr>
        <w:t xml:space="preserve">Обеспечить сохранность переданной Заказчиком по соответствующим актам сдачи-приемки Места выполнения Работ, технической и иной документации, а также возврат ее Заказчику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1"/>
        </w:numPr>
        <w:shd w:val="clear" w:color="auto" w:fill="FFFFFF"/>
        <w:tabs>
          <w:tab w:val="clear" w:pos="720"/>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20"/>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5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20"/>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20"/>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1"/>
        </w:numPr>
        <w:shd w:val="clear" w:color="auto" w:fill="FFFFFF"/>
        <w:tabs>
          <w:tab w:val="clear" w:pos="720"/>
          <w:tab w:val="left" w:pos="1418" w:leader="none"/>
        </w:tabs>
        <w:ind w:left="0" w:firstLine="709"/>
        <w:jc w:val="both"/>
        <w:rPr/>
      </w:pPr>
      <w:r>
        <w:rPr/>
        <w:t>Обеспечить:</w:t>
      </w:r>
    </w:p>
    <w:p>
      <w:pPr>
        <w:pStyle w:val="ListParagraph"/>
        <w:numPr>
          <w:ilvl w:val="0"/>
          <w:numId w:val="13"/>
        </w:numPr>
        <w:shd w:val="clear" w:color="auto" w:fill="FFFFFF"/>
        <w:tabs>
          <w:tab w:val="clear" w:pos="720"/>
          <w:tab w:val="left" w:pos="567" w:leader="none"/>
          <w:tab w:val="left" w:pos="1418" w:leader="none"/>
        </w:tabs>
        <w:ind w:left="0" w:firstLine="709"/>
        <w:jc w:val="both"/>
        <w:rPr>
          <w:bCs/>
        </w:rPr>
      </w:pPr>
      <w:r>
        <w:rPr>
          <w:bCs/>
        </w:rPr>
        <w:t xml:space="preserve">участие в саморегулируемой организации, основанной на членстве лиц, </w:t>
      </w:r>
      <w:r>
        <w:rPr/>
        <w:t>выполняющих инженерные изыскания / подготовку проектной документации</w:t>
      </w:r>
      <w:r>
        <w:rPr>
          <w:rStyle w:val="Style12"/>
        </w:rPr>
        <w:footnoteReference w:id="2"/>
      </w:r>
      <w:r>
        <w:rPr>
          <w:bCs/>
        </w:rPr>
        <w:t xml:space="preserve"> (с учетом исключений, предусмотренных законодательством Российской Федерации</w:t>
      </w:r>
      <w:r>
        <w:rPr>
          <w:rStyle w:val="Style12"/>
          <w:bCs/>
        </w:rPr>
        <w:footnoteReference w:id="3"/>
      </w:r>
      <w:r>
        <w:rPr>
          <w:bCs/>
        </w:rPr>
        <w:t>);</w:t>
      </w:r>
    </w:p>
    <w:p>
      <w:pPr>
        <w:pStyle w:val="ListParagraph"/>
        <w:numPr>
          <w:ilvl w:val="0"/>
          <w:numId w:val="13"/>
        </w:numPr>
        <w:shd w:val="clear" w:color="auto" w:fill="FFFFFF"/>
        <w:tabs>
          <w:tab w:val="clear" w:pos="720"/>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3"/>
        </w:numPr>
        <w:tabs>
          <w:tab w:val="clear" w:pos="720"/>
          <w:tab w:val="left" w:pos="567"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2"/>
          <w:numId w:val="1"/>
        </w:numPr>
        <w:shd w:val="clear" w:color="auto" w:fill="FFFFFF"/>
        <w:tabs>
          <w:tab w:val="clear" w:pos="720"/>
          <w:tab w:val="left" w:pos="1418" w:leader="none"/>
        </w:tabs>
        <w:ind w:left="0" w:firstLine="709"/>
        <w:jc w:val="both"/>
        <w:rPr>
          <w:bCs/>
        </w:rPr>
      </w:pPr>
      <w:r>
        <w:rPr/>
        <w:t>Выполнять</w:t>
      </w:r>
      <w:r>
        <w:rPr>
          <w:bCs/>
        </w:rPr>
        <w:t xml:space="preserve"> Работы силами квалифицированных специалистов (в том числе, с учетом требований пункта 2.3.10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Normal"/>
        <w:shd w:val="clear" w:color="auto" w:fill="FFFFFF"/>
        <w:tabs>
          <w:tab w:val="clear" w:pos="720"/>
          <w:tab w:val="left" w:pos="709" w:leader="none"/>
          <w:tab w:val="left" w:pos="1418" w:leader="none"/>
        </w:tabs>
        <w:spacing w:lineRule="auto" w:line="240"/>
        <w:ind w:firstLine="709"/>
        <w:rPr>
          <w:bCs/>
          <w:sz w:val="24"/>
        </w:rPr>
      </w:pPr>
      <w:r>
        <w:rPr>
          <w:sz w:val="24"/>
        </w:rPr>
        <w:t>Не более чем за __ рабочих дня до начала выполнения работ (вида работ) Подрядчик обязан направить в адрес Заказчика уведомление о допуске персонала Подрядчика или Субподрядчика к выполнению работ (вида работ) с указанием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Подрядчиком</w:t>
      </w:r>
      <w:r>
        <w:rPr>
          <w:bCs/>
          <w:sz w:val="24"/>
        </w:rPr>
        <w:t>.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Normal"/>
        <w:shd w:val="clear" w:color="auto" w:fill="FFFFFF"/>
        <w:tabs>
          <w:tab w:val="clear" w:pos="720"/>
          <w:tab w:val="left" w:pos="1418" w:leader="none"/>
        </w:tabs>
        <w:spacing w:lineRule="auto" w:line="240"/>
        <w:ind w:firstLine="709"/>
        <w:rPr>
          <w:bCs/>
          <w:sz w:val="24"/>
        </w:rPr>
      </w:pPr>
      <w:r>
        <w:rPr>
          <w:sz w:val="24"/>
        </w:rPr>
        <w:t>После получения от Заказчика указания о предоставлении прав для ведения работ, оформленного в соответствии с пунктом 2.1.8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1"/>
        </w:numPr>
        <w:shd w:val="clear" w:color="auto" w:fill="FFFFFF"/>
        <w:tabs>
          <w:tab w:val="clear" w:pos="720"/>
          <w:tab w:val="left" w:pos="1418" w:leader="none"/>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1"/>
        </w:numPr>
        <w:shd w:val="clear" w:color="auto" w:fill="FFFFFF"/>
        <w:tabs>
          <w:tab w:val="clear" w:pos="720"/>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1"/>
        </w:numPr>
        <w:shd w:val="clear" w:color="auto" w:fill="FFFFFF"/>
        <w:tabs>
          <w:tab w:val="clear" w:pos="720"/>
          <w:tab w:val="left" w:pos="1418" w:leader="none"/>
        </w:tabs>
        <w:ind w:left="0" w:firstLine="709"/>
        <w:jc w:val="both"/>
        <w:rPr>
          <w:bCs/>
        </w:rPr>
      </w:pPr>
      <w:r>
        <w:rPr>
          <w:bCs/>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pPr>
        <w:pStyle w:val="ListParagraph"/>
        <w:numPr>
          <w:ilvl w:val="2"/>
          <w:numId w:val="1"/>
        </w:numPr>
        <w:shd w:val="clear" w:color="auto" w:fill="FFFFFF"/>
        <w:tabs>
          <w:tab w:val="clear" w:pos="720"/>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
        </w:numPr>
        <w:shd w:val="clear" w:color="auto" w:fill="FFFFFF"/>
        <w:tabs>
          <w:tab w:val="clear" w:pos="720"/>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
        </w:numPr>
        <w:shd w:val="clear" w:color="auto" w:fill="FFFFFF"/>
        <w:tabs>
          <w:tab w:val="clear" w:pos="720"/>
          <w:tab w:val="left" w:pos="1418" w:leader="none"/>
        </w:tabs>
        <w:ind w:left="0" w:firstLine="709"/>
        <w:jc w:val="both"/>
        <w:rPr>
          <w:bCs/>
        </w:rPr>
      </w:pPr>
      <w:r>
        <w:rPr>
          <w:bCs/>
        </w:rPr>
        <w:t xml:space="preserve">Передать Заказчику Результат Работ, соответствующий требованиям Договора. </w:t>
      </w:r>
    </w:p>
    <w:p>
      <w:pPr>
        <w:pStyle w:val="ListParagraph"/>
        <w:numPr>
          <w:ilvl w:val="2"/>
          <w:numId w:val="1"/>
        </w:numPr>
        <w:shd w:val="clear" w:color="auto" w:fill="FFFFFF"/>
        <w:tabs>
          <w:tab w:val="clear" w:pos="720"/>
          <w:tab w:val="left" w:pos="1418" w:leader="none"/>
        </w:tabs>
        <w:ind w:left="0" w:firstLine="709"/>
        <w:jc w:val="both"/>
        <w:rPr>
          <w:bCs/>
        </w:rPr>
      </w:pPr>
      <w:r>
        <w:rPr>
          <w:bCs/>
        </w:rPr>
        <w:t>Обеспечивать в месте производства Инженерных изысканий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w:t>
      </w:r>
    </w:p>
    <w:p>
      <w:pPr>
        <w:pStyle w:val="ListParagraph"/>
        <w:shd w:val="clear" w:color="auto" w:fill="FFFFFF"/>
        <w:tabs>
          <w:tab w:val="clear" w:pos="720"/>
          <w:tab w:val="left" w:pos="1418" w:leader="none"/>
        </w:tabs>
        <w:ind w:left="0" w:firstLine="709"/>
        <w:jc w:val="both"/>
        <w:rPr>
          <w:bCs/>
        </w:rPr>
      </w:pPr>
      <w:r>
        <w:rPr>
          <w:bCs/>
        </w:rPr>
        <w:t>До даты сдачи Заказчику Результата Инженерных изысканий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1"/>
        </w:numPr>
        <w:shd w:val="clear" w:color="auto" w:fill="FFFFFF"/>
        <w:tabs>
          <w:tab w:val="clear" w:pos="720"/>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20"/>
          <w:tab w:val="left" w:pos="1418" w:leader="none"/>
        </w:tabs>
        <w:spacing w:lineRule="auto" w:line="240"/>
        <w:ind w:firstLine="709"/>
        <w:rPr>
          <w:bCs/>
          <w:sz w:val="24"/>
          <w:szCs w:val="24"/>
        </w:rPr>
      </w:pPr>
      <w:r>
        <w:rPr>
          <w:bCs/>
          <w:sz w:val="24"/>
          <w:szCs w:val="24"/>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20"/>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2.3.20.1 Договора. </w:t>
      </w:r>
    </w:p>
    <w:p>
      <w:pPr>
        <w:pStyle w:val="ListParagraph"/>
        <w:shd w:val="clear" w:color="auto" w:fill="FFFFFF"/>
        <w:tabs>
          <w:tab w:val="clear" w:pos="720"/>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2.3.20.1 Договора. </w:t>
      </w:r>
    </w:p>
    <w:p>
      <w:pPr>
        <w:pStyle w:val="ListParagraph"/>
        <w:numPr>
          <w:ilvl w:val="2"/>
          <w:numId w:val="1"/>
        </w:numPr>
        <w:shd w:val="clear" w:color="auto" w:fill="FFFFFF"/>
        <w:tabs>
          <w:tab w:val="clear" w:pos="720"/>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1"/>
        </w:numPr>
        <w:shd w:val="clear" w:color="auto" w:fill="FFFFFF"/>
        <w:tabs>
          <w:tab w:val="clear" w:pos="720"/>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1"/>
        </w:numPr>
        <w:shd w:val="clear" w:color="auto" w:fill="FFFFFF"/>
        <w:tabs>
          <w:tab w:val="clear" w:pos="720"/>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1"/>
        </w:numPr>
        <w:shd w:val="clear" w:color="auto" w:fill="FFFFFF"/>
        <w:tabs>
          <w:tab w:val="clear" w:pos="720"/>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20"/>
          <w:tab w:val="left" w:pos="567" w:leader="none"/>
        </w:tabs>
        <w:ind w:left="0" w:firstLine="709"/>
        <w:jc w:val="both"/>
        <w:rPr>
          <w:bCs/>
        </w:rPr>
      </w:pPr>
      <w:r>
        <w:rPr>
          <w:bCs/>
        </w:rPr>
        <w:t>Невыполнение Подрядчиком требований пункта 2.3.20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
        </w:numPr>
        <w:shd w:val="clear" w:color="auto" w:fill="FFFFFF"/>
        <w:tabs>
          <w:tab w:val="clear" w:pos="720"/>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4"/>
        </w:numPr>
        <w:tabs>
          <w:tab w:val="clear" w:pos="720"/>
          <w:tab w:val="left" w:pos="1134" w:leader="none"/>
        </w:tabs>
        <w:ind w:left="0" w:right="23" w:firstLine="709"/>
        <w:jc w:val="both"/>
        <w:rPr/>
      </w:pPr>
      <w:r>
        <w:rPr/>
        <w:t>аварии – в течение 2 (двух) часов;</w:t>
      </w:r>
    </w:p>
    <w:p>
      <w:pPr>
        <w:pStyle w:val="ListParagraph"/>
        <w:numPr>
          <w:ilvl w:val="0"/>
          <w:numId w:val="14"/>
        </w:numPr>
        <w:tabs>
          <w:tab w:val="clear" w:pos="720"/>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4"/>
        </w:numPr>
        <w:tabs>
          <w:tab w:val="clear" w:pos="720"/>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4"/>
        </w:numPr>
        <w:tabs>
          <w:tab w:val="clear" w:pos="720"/>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4"/>
        </w:numPr>
        <w:tabs>
          <w:tab w:val="clear" w:pos="720"/>
          <w:tab w:val="left" w:pos="1134" w:leader="none"/>
        </w:tabs>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4"/>
        </w:numPr>
        <w:tabs>
          <w:tab w:val="clear" w:pos="720"/>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1"/>
        </w:numPr>
        <w:shd w:val="clear" w:color="auto" w:fill="FFFFFF"/>
        <w:tabs>
          <w:tab w:val="clear" w:pos="720"/>
          <w:tab w:val="left" w:pos="1418" w:leader="none"/>
        </w:tabs>
        <w:ind w:left="0" w:firstLine="709"/>
        <w:jc w:val="both"/>
        <w:rPr>
          <w:bCs/>
        </w:rPr>
      </w:pPr>
      <w: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rPr>
        <w:t>требований Договора.</w:t>
      </w:r>
    </w:p>
    <w:p>
      <w:pPr>
        <w:pStyle w:val="ListParagraph"/>
        <w:numPr>
          <w:ilvl w:val="2"/>
          <w:numId w:val="1"/>
        </w:numPr>
        <w:shd w:val="clear" w:color="auto" w:fill="FFFFFF"/>
        <w:tabs>
          <w:tab w:val="clear" w:pos="720"/>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numPr>
          <w:ilvl w:val="2"/>
          <w:numId w:val="1"/>
        </w:numPr>
        <w:shd w:val="clear" w:color="auto" w:fill="FFFFFF"/>
        <w:tabs>
          <w:tab w:val="clear" w:pos="720"/>
          <w:tab w:val="left" w:pos="1418" w:leader="none"/>
        </w:tabs>
        <w:ind w:left="0" w:firstLine="709"/>
        <w:jc w:val="both"/>
        <w:rPr>
          <w:bCs/>
        </w:rPr>
      </w:pPr>
      <w:r>
        <w:rPr>
          <w:bCs/>
        </w:rPr>
        <w:t xml:space="preserve">Подрядчик несет ответственность за несоответствие Результата Работ Техническому заданию (Приложение № 1 к Договору), Исходно-разрешительной документации,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lang w:eastAsia="en-US"/>
        </w:rPr>
        <w:t>Проектной документации, Результата Инженерных изысканий и / или Рабочей документации</w:t>
      </w:r>
      <w:r>
        <w:rPr>
          <w:bCs/>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Pr>
          <w:lang w:eastAsia="en-US"/>
        </w:rPr>
        <w:t>Проектной документации, Результата Инженерных изысканий и / или Рабочей документации</w:t>
      </w:r>
      <w:r>
        <w:rPr>
          <w:bCs/>
        </w:rPr>
        <w:t>.</w:t>
      </w:r>
    </w:p>
    <w:p>
      <w:pPr>
        <w:pStyle w:val="ListParagraph"/>
        <w:numPr>
          <w:ilvl w:val="2"/>
          <w:numId w:val="1"/>
        </w:numPr>
        <w:shd w:val="clear" w:color="auto" w:fill="FFFFFF"/>
        <w:tabs>
          <w:tab w:val="clear" w:pos="720"/>
          <w:tab w:val="left" w:pos="1418" w:leader="none"/>
        </w:tabs>
        <w:ind w:left="0" w:firstLine="709"/>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Оборудования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w:t>
      </w:r>
    </w:p>
    <w:p>
      <w:pPr>
        <w:pStyle w:val="ListParagraph"/>
        <w:numPr>
          <w:ilvl w:val="2"/>
          <w:numId w:val="1"/>
        </w:numPr>
        <w:ind w:left="0" w:firstLine="709"/>
        <w:jc w:val="both"/>
        <w:rPr>
          <w:color w:val="000000"/>
        </w:rPr>
      </w:pPr>
      <w:r>
        <w:rPr>
          <w:color w:val="000000"/>
        </w:rPr>
        <w:t>Предоставить Заказчику банковские гарантии в соответствии с разделом 6 Договора.</w:t>
      </w:r>
    </w:p>
    <w:p>
      <w:pPr>
        <w:pStyle w:val="ListParagraph"/>
        <w:numPr>
          <w:ilvl w:val="2"/>
          <w:numId w:val="1"/>
        </w:numPr>
        <w:shd w:val="clear" w:color="auto" w:fill="FFFFFF"/>
        <w:tabs>
          <w:tab w:val="clear" w:pos="720"/>
          <w:tab w:val="left" w:pos="1418" w:leader="none"/>
        </w:tabs>
        <w:ind w:left="0" w:firstLine="709"/>
        <w:jc w:val="both"/>
        <w:rPr/>
      </w:pPr>
      <w:r>
        <w:rPr/>
        <w:t xml:space="preserve"> </w:t>
      </w:r>
      <w:r>
        <w:rPr/>
        <w:t xml:space="preserve">Организовать выполнение </w:t>
      </w:r>
      <w:r>
        <w:rPr>
          <w:lang w:eastAsia="en-US"/>
        </w:rPr>
        <w:t>Работ по оформлению прав Заказчика на земельные участки, необходимые для строительства</w:t>
      </w:r>
      <w:r>
        <w:rPr/>
        <w:t xml:space="preserve">, в случае, если в процессе выполнения Работ возникнет необходимость в проведении вышеуказанных работ. При этом, Стороны обязуются согласовать и заключить дополнительное соглашение к Договору на соответствующий предмет.  </w:t>
      </w:r>
    </w:p>
    <w:p>
      <w:pPr>
        <w:pStyle w:val="ListParagraph"/>
        <w:numPr>
          <w:ilvl w:val="2"/>
          <w:numId w:val="1"/>
        </w:numPr>
        <w:shd w:val="clear" w:color="auto" w:fill="FFFFFF"/>
        <w:tabs>
          <w:tab w:val="clear" w:pos="720"/>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1"/>
        </w:numPr>
        <w:shd w:val="clear" w:color="auto" w:fill="FFFFFF"/>
        <w:tabs>
          <w:tab w:val="clear" w:pos="720"/>
          <w:tab w:val="left" w:pos="1418" w:leader="none"/>
        </w:tabs>
        <w:ind w:left="0" w:firstLine="710"/>
        <w:jc w:val="both"/>
        <w:rPr/>
      </w:pPr>
      <w:bookmarkStart w:id="9" w:name="_GoBack1"/>
      <w:bookmarkEnd w:id="9"/>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
        </w:numPr>
        <w:shd w:val="clear" w:color="auto" w:fill="FFFFFF"/>
        <w:tabs>
          <w:tab w:val="clear" w:pos="720"/>
          <w:tab w:val="left" w:pos="1418" w:leader="none"/>
        </w:tabs>
        <w:ind w:left="0" w:firstLine="710"/>
        <w:jc w:val="both"/>
        <w:rPr/>
      </w:pPr>
      <w:r>
        <w:rPr/>
        <w:t xml:space="preserve">Соблюдать требования, установленные в Техническом задании (Приложение №1), в том числе о </w:t>
      </w:r>
      <w:r>
        <w:rPr>
          <w:bCs/>
        </w:rPr>
        <w:t xml:space="preserve">наличии </w:t>
      </w:r>
      <w:r>
        <w:rPr/>
        <w:t>необходимых для выполнения работ кадровых ресурсов (персонала), техники и материально-технических ресурсов.</w:t>
      </w:r>
    </w:p>
    <w:p>
      <w:pPr>
        <w:pStyle w:val="ListParagraph"/>
        <w:numPr>
          <w:ilvl w:val="2"/>
          <w:numId w:val="1"/>
        </w:numPr>
        <w:shd w:val="clear" w:color="auto" w:fill="FFFFFF"/>
        <w:tabs>
          <w:tab w:val="clear" w:pos="720"/>
          <w:tab w:val="left" w:pos="1418" w:leader="none"/>
        </w:tabs>
        <w:ind w:left="0" w:firstLine="710"/>
        <w:jc w:val="both"/>
        <w:rPr/>
      </w:pPr>
      <w:r>
        <w:rPr/>
        <w:t xml:space="preserve">В течение 5 (пяти) рабочих дней с момента заключения договора, а также в случае получения требования Заказчика, указанного в п.2.2.11 Договора, предоставить Заказчику полную информацию о </w:t>
      </w:r>
      <w:r>
        <w:rPr>
          <w:bCs/>
        </w:rPr>
        <w:t xml:space="preserve">наличии </w:t>
      </w:r>
      <w: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bCs/>
        </w:rPr>
        <w:t>.</w:t>
      </w:r>
    </w:p>
    <w:p>
      <w:pPr>
        <w:pStyle w:val="ListParagraph"/>
        <w:numPr>
          <w:ilvl w:val="2"/>
          <w:numId w:val="1"/>
        </w:numPr>
        <w:shd w:val="clear" w:color="auto" w:fill="FFFFFF"/>
        <w:tabs>
          <w:tab w:val="clear" w:pos="720"/>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1"/>
        </w:numPr>
        <w:shd w:val="clear" w:color="auto" w:fill="FFFFFF"/>
        <w:tabs>
          <w:tab w:val="clear" w:pos="720"/>
          <w:tab w:val="left" w:pos="1134" w:leader="none"/>
        </w:tabs>
        <w:ind w:left="0" w:firstLine="709"/>
        <w:jc w:val="both"/>
        <w:rPr>
          <w:bCs/>
        </w:rPr>
      </w:pPr>
      <w:r>
        <w:rPr>
          <w:bCs/>
          <w:u w:val="single"/>
        </w:rPr>
        <w:t>Подрядчик имеет право</w:t>
      </w:r>
      <w:r>
        <w:rPr>
          <w:bCs/>
        </w:rPr>
        <w:t>:</w:t>
      </w:r>
    </w:p>
    <w:p>
      <w:pPr>
        <w:pStyle w:val="ListParagraph"/>
        <w:numPr>
          <w:ilvl w:val="2"/>
          <w:numId w:val="1"/>
        </w:numPr>
        <w:shd w:val="clear" w:color="auto" w:fill="FFFFFF"/>
        <w:tabs>
          <w:tab w:val="clear" w:pos="720"/>
          <w:tab w:val="left" w:pos="1418" w:leader="none"/>
        </w:tabs>
        <w:ind w:left="0" w:firstLine="709"/>
        <w:jc w:val="both"/>
        <w:rPr>
          <w:bCs/>
        </w:rPr>
      </w:pPr>
      <w:r>
        <w:rPr>
          <w:bCs/>
        </w:rPr>
        <w:t>Самостоятельно организовать выполнение Работ.</w:t>
      </w:r>
    </w:p>
    <w:p>
      <w:pPr>
        <w:pStyle w:val="ListParagraph"/>
        <w:numPr>
          <w:ilvl w:val="2"/>
          <w:numId w:val="1"/>
        </w:numPr>
        <w:shd w:val="clear" w:color="auto" w:fill="FFFFFF"/>
        <w:tabs>
          <w:tab w:val="clear" w:pos="720"/>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__ % (____ процентов)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20"/>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6"/>
        </w:numPr>
        <w:shd w:val="clear" w:color="auto" w:fill="FFFFFF"/>
        <w:tabs>
          <w:tab w:val="clear" w:pos="720"/>
          <w:tab w:val="left" w:pos="709" w:leader="none"/>
        </w:tabs>
        <w:ind w:left="0" w:firstLine="709"/>
        <w:jc w:val="both"/>
        <w:rPr>
          <w:bCs/>
        </w:rPr>
      </w:pPr>
      <w:r>
        <w:rPr>
          <w:bCs/>
        </w:rPr>
        <w:t xml:space="preserve">проект договора с Субподрядчиком; </w:t>
      </w:r>
    </w:p>
    <w:p>
      <w:pPr>
        <w:pStyle w:val="ListParagraph"/>
        <w:numPr>
          <w:ilvl w:val="0"/>
          <w:numId w:val="16"/>
        </w:numPr>
        <w:shd w:val="clear" w:color="auto" w:fill="FFFFFF"/>
        <w:tabs>
          <w:tab w:val="clear" w:pos="720"/>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6"/>
        </w:numPr>
        <w:shd w:val="clear" w:color="auto" w:fill="FFFFFF"/>
        <w:tabs>
          <w:tab w:val="clear" w:pos="720"/>
          <w:tab w:val="left" w:pos="278" w:leader="none"/>
          <w:tab w:val="left" w:pos="709" w:leader="none"/>
          <w:tab w:val="left" w:pos="1134" w:leader="none"/>
        </w:tabs>
        <w:spacing w:lineRule="auto" w:line="259" w:before="0" w:after="160"/>
        <w:ind w:left="0" w:firstLine="709"/>
        <w:contextualSpacing/>
        <w:jc w:val="both"/>
        <w:rPr>
          <w:bCs/>
        </w:rPr>
      </w:pPr>
      <w:r>
        <w:rPr>
          <w:bCs/>
        </w:rPr>
        <w:t xml:space="preserve">пофамильный перечень персонала Субподрядчика, который будет задействован при производстве работ </w:t>
      </w:r>
      <w:r>
        <w:rPr/>
        <w:t>с указанием их паспортных данных,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Субподрядчиком</w:t>
      </w:r>
      <w:r>
        <w:rPr>
          <w:bCs/>
        </w:rPr>
        <w:t xml:space="preserve">; </w:t>
      </w:r>
    </w:p>
    <w:p>
      <w:pPr>
        <w:pStyle w:val="ListParagraph"/>
        <w:numPr>
          <w:ilvl w:val="0"/>
          <w:numId w:val="16"/>
        </w:numPr>
        <w:shd w:val="clear" w:color="auto" w:fill="FFFFFF"/>
        <w:tabs>
          <w:tab w:val="clear" w:pos="720"/>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clear" w:pos="720"/>
          <w:tab w:val="left" w:pos="1276" w:leader="none"/>
          <w:tab w:val="left" w:pos="1418" w:leader="none"/>
        </w:tabs>
        <w:ind w:left="0" w:firstLine="567"/>
        <w:jc w:val="both"/>
        <w:rPr>
          <w:b/>
          <w:b/>
          <w:bCs/>
        </w:rPr>
      </w:pPr>
      <w:r>
        <w:rPr>
          <w:b/>
          <w:bCs/>
        </w:rPr>
      </w:r>
    </w:p>
    <w:p>
      <w:pPr>
        <w:pStyle w:val="ListParagraph"/>
        <w:shd w:val="clear" w:color="auto" w:fill="FFFFFF"/>
        <w:tabs>
          <w:tab w:val="clear" w:pos="720"/>
          <w:tab w:val="left" w:pos="1276" w:leader="none"/>
          <w:tab w:val="left" w:pos="1418" w:leader="none"/>
        </w:tabs>
        <w:ind w:left="0" w:firstLine="567"/>
        <w:jc w:val="both"/>
        <w:rPr>
          <w:b/>
          <w:b/>
          <w:bCs/>
        </w:rPr>
      </w:pPr>
      <w:r>
        <w:rPr>
          <w:b/>
          <w:bCs/>
        </w:rPr>
      </w:r>
    </w:p>
    <w:p>
      <w:pPr>
        <w:pStyle w:val="ListParagraph"/>
        <w:numPr>
          <w:ilvl w:val="0"/>
          <w:numId w:val="1"/>
        </w:numPr>
        <w:shd w:val="clear" w:color="auto" w:fill="FFFFFF"/>
        <w:tabs>
          <w:tab w:val="clear" w:pos="720"/>
          <w:tab w:val="left" w:pos="284" w:leader="none"/>
        </w:tabs>
        <w:ind w:left="0" w:hanging="0"/>
        <w:jc w:val="center"/>
        <w:rPr/>
      </w:pPr>
      <w:r>
        <w:rPr>
          <w:b/>
          <w:bCs/>
        </w:rPr>
        <w:t>Цена Договора и порядок расчетов</w:t>
      </w:r>
    </w:p>
    <w:p>
      <w:pPr>
        <w:pStyle w:val="ListParagraph"/>
        <w:numPr>
          <w:ilvl w:val="1"/>
          <w:numId w:val="1"/>
        </w:numPr>
        <w:shd w:val="clear" w:color="auto" w:fill="FFFFFF"/>
        <w:tabs>
          <w:tab w:val="clear" w:pos="720"/>
          <w:tab w:val="left" w:pos="1134" w:leader="none"/>
        </w:tabs>
        <w:ind w:left="0" w:firstLine="709"/>
        <w:jc w:val="both"/>
        <w:rPr>
          <w:bCs/>
        </w:rPr>
      </w:pPr>
      <w:r>
        <w:rPr>
          <w:bCs/>
        </w:rPr>
        <w:t xml:space="preserve">Цена </w:t>
      </w:r>
      <w:r>
        <w:rPr/>
        <w:t xml:space="preserve">Договора </w:t>
      </w:r>
      <w:r>
        <w:rPr>
          <w:bCs/>
        </w:rPr>
        <w:t xml:space="preserve">в соответствии со Сводной сметой с приложениями (Приложение № 3 к Договору) является предельной и составляет </w:t>
      </w:r>
      <w:r>
        <w:rPr/>
        <w:t>_______</w:t>
      </w:r>
      <w:r>
        <w:rPr>
          <w:bCs/>
        </w:rPr>
        <w:t xml:space="preserve"> (</w:t>
      </w:r>
      <w:r>
        <w:rPr/>
        <w:t>__________________</w:t>
      </w:r>
      <w:r>
        <w:rPr>
          <w:bCs/>
        </w:rPr>
        <w:t xml:space="preserve">) рублей </w:t>
      </w:r>
      <w:r>
        <w:rPr/>
        <w:t>___</w:t>
      </w:r>
      <w:r>
        <w:rPr>
          <w:bCs/>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t>– «НК РФ»)</w:t>
      </w:r>
      <w:r>
        <w:rPr>
          <w:bCs/>
        </w:rPr>
        <w:t xml:space="preserve">. </w:t>
      </w:r>
    </w:p>
    <w:p>
      <w:pPr>
        <w:pStyle w:val="ListParagraph"/>
        <w:numPr>
          <w:ilvl w:val="1"/>
          <w:numId w:val="1"/>
        </w:numPr>
        <w:shd w:val="clear" w:color="auto" w:fill="FFFFFF"/>
        <w:tabs>
          <w:tab w:val="clear" w:pos="720"/>
          <w:tab w:val="left" w:pos="171" w:leader="none"/>
          <w:tab w:val="left" w:pos="1134" w:leader="none"/>
        </w:tabs>
        <w:ind w:left="0" w:firstLine="680"/>
        <w:jc w:val="both"/>
        <w:rPr>
          <w:highlight w:val="lightGray"/>
        </w:rPr>
      </w:pPr>
      <w:bookmarkStart w:id="10" w:name="_Ref361834605"/>
      <w:bookmarkEnd w:id="10"/>
      <w:r>
        <w:rPr>
          <w:highlight w:val="lightGray"/>
        </w:rPr>
        <w:t xml:space="preserve">Сметы подлежат согласованию Сторонами не позднее истечения </w:t>
      </w:r>
      <w:bookmarkStart w:id="11" w:name="_GoBack"/>
      <w:bookmarkEnd w:id="11"/>
      <w:r>
        <w:rPr>
          <w:highlight w:val="lightGray"/>
        </w:rPr>
        <w:t>90 (девяноста)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смет Стороны обязаны уточнить Сводную смету с приложениями (Приложение № 3 к Договору) путем заключения дополнительного соглашения к Договору, а также продлить сроки выполнения Работ на срок их приостановки по предусмотренному в настоящем пункте основанию.</w:t>
      </w:r>
    </w:p>
    <w:p>
      <w:pPr>
        <w:pStyle w:val="ListParagraph"/>
        <w:shd w:val="clear" w:color="auto" w:fill="FFFFFF"/>
        <w:tabs>
          <w:tab w:val="clear" w:pos="720"/>
          <w:tab w:val="left" w:pos="1134" w:leader="none"/>
        </w:tabs>
        <w:ind w:left="0" w:firstLine="709"/>
        <w:jc w:val="both"/>
        <w:rPr>
          <w:i/>
          <w:i/>
          <w:highlight w:val="lightGray"/>
        </w:rPr>
      </w:pPr>
      <w:r>
        <w:rPr>
          <w:i/>
          <w:highlight w:val="lightGray"/>
        </w:rPr>
        <w:t>либо</w:t>
      </w:r>
    </w:p>
    <w:p>
      <w:pPr>
        <w:pStyle w:val="ListParagraph"/>
        <w:shd w:val="clear" w:color="auto" w:fill="FFFFFF"/>
        <w:tabs>
          <w:tab w:val="clear" w:pos="720"/>
          <w:tab w:val="left" w:pos="1134" w:leader="none"/>
        </w:tabs>
        <w:ind w:left="0" w:firstLine="709"/>
        <w:jc w:val="both"/>
        <w:rPr>
          <w:bCs/>
        </w:rPr>
      </w:pPr>
      <w:r>
        <w:rPr>
          <w:highlight w:val="lightGray"/>
        </w:rPr>
        <w:t>Сметы являются неотъемлемой частью Сводной сметы с приложениями (Приложение № 3 к Договору)</w:t>
      </w:r>
      <w:bookmarkStart w:id="12" w:name="_Ref361335465"/>
      <w:bookmarkEnd w:id="12"/>
      <w:r>
        <w:rPr>
          <w:rStyle w:val="Style12"/>
          <w:highlight w:val="lightGray"/>
        </w:rPr>
        <w:footnoteReference w:id="4"/>
      </w:r>
      <w:r>
        <w:rPr>
          <w:bCs/>
          <w:highlight w:val="lightGray"/>
        </w:rPr>
        <w:t>.</w:t>
      </w:r>
    </w:p>
    <w:p>
      <w:pPr>
        <w:pStyle w:val="ListParagraph"/>
        <w:numPr>
          <w:ilvl w:val="1"/>
          <w:numId w:val="1"/>
        </w:numPr>
        <w:shd w:val="clear" w:color="auto" w:fill="FFFFFF"/>
        <w:tabs>
          <w:tab w:val="clear" w:pos="720"/>
          <w:tab w:val="left" w:pos="1134" w:leader="none"/>
        </w:tabs>
        <w:ind w:left="0" w:firstLine="709"/>
        <w:jc w:val="both"/>
        <w:rPr/>
      </w:pPr>
      <w:r>
        <w:rPr>
          <w:bCs/>
        </w:rPr>
        <w:t>Цена Договора включает в себя прибыль Подрядчика, а также все расходы и затраты Подрядчика на:</w:t>
      </w:r>
    </w:p>
    <w:p>
      <w:pPr>
        <w:pStyle w:val="ListParagraph"/>
        <w:numPr>
          <w:ilvl w:val="2"/>
          <w:numId w:val="1"/>
        </w:numPr>
        <w:shd w:val="clear" w:color="auto" w:fill="FFFFFF"/>
        <w:tabs>
          <w:tab w:val="clear" w:pos="720"/>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1"/>
        </w:numPr>
        <w:shd w:val="clear" w:color="auto" w:fill="FFFFFF"/>
        <w:tabs>
          <w:tab w:val="clear" w:pos="720"/>
          <w:tab w:val="left" w:pos="1418" w:leader="none"/>
        </w:tabs>
        <w:ind w:left="0" w:firstLine="709"/>
        <w:jc w:val="both"/>
        <w:rPr/>
      </w:pPr>
      <w:r>
        <w:rPr/>
        <w:t>Получение и оформление Исходно-разрешительной документации;</w:t>
      </w:r>
    </w:p>
    <w:p>
      <w:pPr>
        <w:pStyle w:val="ListParagraph"/>
        <w:numPr>
          <w:ilvl w:val="2"/>
          <w:numId w:val="1"/>
        </w:numPr>
        <w:shd w:val="clear" w:color="auto" w:fill="FFFFFF"/>
        <w:tabs>
          <w:tab w:val="clear" w:pos="720"/>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1"/>
        </w:numPr>
        <w:shd w:val="clear" w:color="auto" w:fill="FFFFFF"/>
        <w:tabs>
          <w:tab w:val="clear" w:pos="720"/>
          <w:tab w:val="left" w:pos="1418" w:leader="none"/>
        </w:tabs>
        <w:ind w:left="0" w:firstLine="709"/>
        <w:jc w:val="both"/>
        <w:rPr/>
      </w:pPr>
      <w:r>
        <w:rP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1"/>
        </w:numPr>
        <w:ind w:left="0" w:firstLine="710"/>
        <w:jc w:val="both"/>
        <w:rPr/>
      </w:pPr>
      <w:r>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pPr>
        <w:pStyle w:val="ListParagraph"/>
        <w:numPr>
          <w:ilvl w:val="1"/>
          <w:numId w:val="1"/>
        </w:numPr>
        <w:shd w:val="clear" w:color="auto" w:fill="FFFFFF"/>
        <w:tabs>
          <w:tab w:val="clear" w:pos="720"/>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
        </w:numPr>
        <w:shd w:val="clear" w:color="auto" w:fill="FFFFFF"/>
        <w:tabs>
          <w:tab w:val="clear" w:pos="720"/>
          <w:tab w:val="left" w:pos="1134" w:leader="none"/>
        </w:tabs>
        <w:ind w:left="0" w:firstLine="709"/>
        <w:jc w:val="both"/>
        <w:rPr>
          <w:bCs/>
        </w:rPr>
      </w:pPr>
      <w:bookmarkStart w:id="13" w:name="_Ref361834675"/>
      <w:bookmarkStart w:id="14" w:name="_Ref361858588"/>
      <w:r>
        <w:rPr>
          <w:bCs/>
        </w:rPr>
        <w:t>Оплата по Договору осуществляется Заказчиком в следующем порядке:</w:t>
      </w:r>
      <w:bookmarkEnd w:id="13"/>
      <w:bookmarkEnd w:id="14"/>
      <w:r>
        <w:rPr>
          <w:bCs/>
        </w:rPr>
        <w:t xml:space="preserve"> </w:t>
      </w:r>
    </w:p>
    <w:p>
      <w:pPr>
        <w:pStyle w:val="ListParagraph"/>
        <w:numPr>
          <w:ilvl w:val="2"/>
          <w:numId w:val="1"/>
        </w:numPr>
        <w:shd w:val="clear" w:color="auto" w:fill="FFFFFF"/>
        <w:tabs>
          <w:tab w:val="clear" w:pos="720"/>
          <w:tab w:val="left" w:pos="1418" w:leader="none"/>
        </w:tabs>
        <w:ind w:left="0" w:firstLine="709"/>
        <w:jc w:val="both"/>
        <w:rPr/>
      </w:pPr>
      <w:bookmarkStart w:id="15" w:name="_Ref373242755"/>
      <w:bookmarkStart w:id="16" w:name="_Ref361335057"/>
      <w:bookmarkEnd w:id="15"/>
      <w:bookmarkEnd w:id="16"/>
      <w:r>
        <w:rP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 и предварительно согласованную с Заказчиком.</w:t>
      </w:r>
    </w:p>
    <w:p>
      <w:pPr>
        <w:pStyle w:val="ListParagraph"/>
        <w:numPr>
          <w:ilvl w:val="2"/>
          <w:numId w:val="1"/>
        </w:numPr>
        <w:shd w:val="clear" w:color="auto" w:fill="FFFFFF"/>
        <w:tabs>
          <w:tab w:val="clear" w:pos="720"/>
          <w:tab w:val="left" w:pos="1418" w:leader="none"/>
        </w:tabs>
        <w:ind w:left="0" w:firstLine="710"/>
        <w:jc w:val="both"/>
        <w:rPr/>
      </w:pPr>
      <w:bookmarkStart w:id="17" w:name="_Ref361335023"/>
      <w:bookmarkStart w:id="18" w:name="_Ref3732427551"/>
      <w:bookmarkStart w:id="19" w:name="_Ref3613350571"/>
      <w:bookmarkEnd w:id="18"/>
      <w:bookmarkEnd w:id="19"/>
      <w:r>
        <w:rPr/>
        <w:t xml:space="preserve">Авансовые платежи в счет стоимости каждого Этапа Работ в размере 30% (тридцати процентов) от стоимости соответствующего Этапа Работ (за исключением непредвиденных работ и затрат) выплачиваются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Этапа Работ, определенной в соответствии с Календарным графиком выполнения Работ (Приложение № 2 к Договору), </w:t>
      </w:r>
      <w:r>
        <w:rPr>
          <w:highlight w:val="lightGray"/>
        </w:rPr>
        <w:t>при условии согласования Сторонами сметной документации на соответствующий Этап Работ в соответствии с пунктом 3.2 Договора</w:t>
      </w:r>
      <w:r>
        <w:rPr>
          <w:rStyle w:val="Style12"/>
          <w:highlight w:val="lightGray"/>
        </w:rPr>
        <w:footnoteReference w:id="5"/>
      </w:r>
      <w:r>
        <w:rPr/>
        <w:t>, и с учетом пунктов 3.5.1, 3.5.5 Догов</w:t>
      </w:r>
      <w:bookmarkStart w:id="20" w:name="_Ref373242766"/>
      <w:bookmarkEnd w:id="20"/>
      <w:r>
        <w:rPr/>
        <w:t>ора.</w:t>
      </w:r>
    </w:p>
    <w:p>
      <w:pPr>
        <w:pStyle w:val="ListParagraph"/>
        <w:numPr>
          <w:ilvl w:val="2"/>
          <w:numId w:val="1"/>
        </w:numPr>
        <w:shd w:val="clear" w:color="auto" w:fill="FFFFFF"/>
        <w:tabs>
          <w:tab w:val="clear" w:pos="720"/>
          <w:tab w:val="left" w:pos="1418" w:leader="none"/>
        </w:tabs>
        <w:ind w:left="0" w:firstLine="709"/>
        <w:jc w:val="both"/>
        <w:rPr/>
      </w:pPr>
      <w:r>
        <w:rPr/>
        <w:t xml:space="preserve">Последующие платежи в размере стоимости каждого Этапа Работ по выполнению Инженерных изысканий, определенной на основании Исполнительной сметы, составленной в соответствии с пунктом 4.2.1 Договора, либо Предварительной сметы (в случае отсутствия Исполнительной сметы), за вычетом авансового платежа, выплаченного в соответствии с пунктом 3.5.2 Договора, выплачиваются в </w:t>
      </w:r>
      <w:r>
        <w:rPr>
          <w:shd w:fill="FFFFFF" w:val="clear"/>
        </w:rPr>
        <w:t>течение</w:t>
      </w:r>
      <w:r>
        <w:rPr/>
        <w:t xml:space="preserve"> 45 (сорока пяти) календарных дней / 7 (семи) рабочих дней</w:t>
      </w:r>
      <w:r>
        <w:rPr>
          <w:rStyle w:val="Style12"/>
        </w:rPr>
        <w:footnoteReference w:id="6"/>
      </w:r>
      <w:r>
        <w:rPr/>
        <w:t xml:space="preserve"> с даты подписания Сторонами документов, указанных в пункте 4.1 Договора, на основании счета, выставленного Подрядчиком, и с учетом пунктов 3.5.5 Договора. </w:t>
      </w:r>
    </w:p>
    <w:p>
      <w:pPr>
        <w:pStyle w:val="ListParagraph"/>
        <w:numPr>
          <w:ilvl w:val="2"/>
          <w:numId w:val="1"/>
        </w:numPr>
        <w:shd w:val="clear" w:color="auto" w:fill="FFFFFF"/>
        <w:tabs>
          <w:tab w:val="clear" w:pos="720"/>
          <w:tab w:val="left" w:pos="1418" w:leader="none"/>
        </w:tabs>
        <w:ind w:left="0" w:firstLine="709"/>
        <w:jc w:val="both"/>
        <w:rPr/>
      </w:pPr>
      <w:r>
        <w:rPr/>
        <w:t>Последующие платежи в размере 70% (семидесяти процентов) от стоимости каждого Этапа Работ (кроме Работ по выполнению Инженерных изысканий) выплачиваются в течение 45 (сорока пяти) календарных дней / 7 (семи) рабочих дней</w:t>
      </w:r>
      <w:r>
        <w:rPr>
          <w:rStyle w:val="Style12"/>
        </w:rPr>
        <w:footnoteReference w:id="7"/>
      </w:r>
      <w:r>
        <w:rPr/>
        <w:t xml:space="preserve"> с даты подписания Сторонами документов, указанных в пункте 4.1 Договора, на основании счёта, выставленного Подрядчиком, и с учетом пунктов 3.5.5 Договора. </w:t>
      </w:r>
    </w:p>
    <w:p>
      <w:pPr>
        <w:pStyle w:val="ListParagraph"/>
        <w:numPr>
          <w:ilvl w:val="2"/>
          <w:numId w:val="1"/>
        </w:numPr>
        <w:shd w:val="clear" w:color="auto" w:fill="FFFFFF"/>
        <w:tabs>
          <w:tab w:val="clear" w:pos="720"/>
          <w:tab w:val="left" w:pos="1418" w:leader="none"/>
        </w:tabs>
        <w:ind w:left="0" w:firstLine="709"/>
        <w:jc w:val="both"/>
        <w:rPr/>
      </w:pPr>
      <w:bookmarkStart w:id="21" w:name="_Ref361834178"/>
      <w:bookmarkEnd w:id="21"/>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1"/>
        </w:numPr>
        <w:shd w:val="clear" w:color="auto" w:fill="FFFFFF"/>
        <w:tabs>
          <w:tab w:val="clear" w:pos="720"/>
          <w:tab w:val="left" w:pos="709" w:leader="none"/>
        </w:tabs>
        <w:ind w:left="0" w:firstLine="709"/>
        <w:jc w:val="both"/>
        <w:rPr>
          <w:bCs/>
        </w:rPr>
      </w:pP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предоставил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 </w:t>
      </w:r>
    </w:p>
    <w:p>
      <w:pPr>
        <w:pStyle w:val="ListParagraph"/>
        <w:numPr>
          <w:ilvl w:val="1"/>
          <w:numId w:val="1"/>
        </w:numPr>
        <w:shd w:val="clear" w:color="auto" w:fill="FFFFFF"/>
        <w:tabs>
          <w:tab w:val="clear" w:pos="720"/>
          <w:tab w:val="left" w:pos="1134" w:leader="none"/>
        </w:tabs>
        <w:ind w:left="0" w:firstLine="709"/>
        <w:jc w:val="both"/>
        <w:rPr>
          <w:bCs/>
        </w:rPr>
      </w:pPr>
      <w:bookmarkStart w:id="22" w:name="_Ref361336647"/>
      <w:bookmarkEnd w:id="22"/>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
        </w:numPr>
        <w:shd w:val="clear" w:color="auto" w:fill="FFFFFF"/>
        <w:tabs>
          <w:tab w:val="clear" w:pos="720"/>
          <w:tab w:val="left" w:pos="1134" w:leader="none"/>
        </w:tabs>
        <w:ind w:left="0" w:firstLine="709"/>
        <w:jc w:val="both"/>
        <w:rPr>
          <w:bCs/>
        </w:rPr>
      </w:pPr>
      <w:r>
        <w:rPr>
          <w:bCs/>
        </w:rPr>
        <w:t xml:space="preserve">За исключением случая, указанного в пункте 2.3.19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Normal"/>
        <w:shd w:val="clear" w:color="auto" w:fill="FFFFFF"/>
        <w:tabs>
          <w:tab w:val="clear" w:pos="720"/>
          <w:tab w:val="left" w:pos="1418" w:leader="none"/>
        </w:tabs>
        <w:spacing w:lineRule="auto" w:line="240"/>
        <w:ind w:firstLine="709"/>
        <w:rPr>
          <w:bCs/>
          <w:sz w:val="24"/>
          <w:szCs w:val="24"/>
        </w:rPr>
      </w:pPr>
      <w:r>
        <w:rPr>
          <w:sz w:val="24"/>
          <w:szCs w:val="24"/>
        </w:rPr>
        <w:t xml:space="preserve">3.8. </w:t>
      </w:r>
      <w:r>
        <w:rPr>
          <w:bCs/>
          <w:sz w:val="24"/>
          <w:szCs w:val="24"/>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утвержденной Сводной сметой с приложениями (Приложение № 3 к Договору). Приемка выполненного объема работ производится одновременно с Работами по Договору при подписании Сторонами Актов сдачи-приемки выполненных работ, предусмотренных пунктом 4.1 Договора. Оплата в размере 100 % (ста процентов) от стоимости непредвиденных работ и затрат производится Заказчиком в течение 30 (тридцати) календарных дней </w:t>
      </w:r>
      <w:r>
        <w:rPr>
          <w:sz w:val="24"/>
          <w:szCs w:val="24"/>
        </w:rPr>
        <w:t>/ 7 (семи) рабочих дней</w:t>
      </w:r>
      <w:r>
        <w:rPr>
          <w:rStyle w:val="Style12"/>
          <w:sz w:val="24"/>
          <w:szCs w:val="24"/>
        </w:rPr>
        <w:footnoteReference w:id="8"/>
      </w:r>
      <w:r>
        <w:rPr>
          <w:sz w:val="24"/>
          <w:szCs w:val="24"/>
        </w:rPr>
        <w:t xml:space="preserve"> </w:t>
      </w:r>
      <w:r>
        <w:rPr>
          <w:bCs/>
          <w:sz w:val="24"/>
          <w:szCs w:val="24"/>
        </w:rPr>
        <w:t xml:space="preserve"> с даты подписания Акта сдачи-приемки выполненных работ на основании счета, выставленного Подрядчиком, и с учетом пунктов 3.5.5 Договора. Стоимость непредвиденных работ и затрат включается в общую сумму Акта сдачи-приемки выполненных работ, подписываемого Сторонами в соответствии с пунктом 4.1 Договора.</w:t>
      </w:r>
    </w:p>
    <w:p>
      <w:pPr>
        <w:pStyle w:val="Normal"/>
        <w:shd w:val="clear" w:color="auto" w:fill="FFFFFF"/>
        <w:tabs>
          <w:tab w:val="clear" w:pos="720"/>
          <w:tab w:val="left" w:pos="1418" w:leader="none"/>
        </w:tabs>
        <w:spacing w:lineRule="auto" w:line="240"/>
        <w:ind w:firstLine="709"/>
        <w:rPr>
          <w:bCs/>
          <w:sz w:val="24"/>
          <w:szCs w:val="24"/>
        </w:rPr>
      </w:pPr>
      <w:r>
        <w:rPr>
          <w:sz w:val="24"/>
          <w:szCs w:val="24"/>
        </w:rPr>
        <w:t xml:space="preserve">3.9. Командировочные расходы включаются в стоимость Этапов Работ в соответствии с расчетом, прилагаемым к Сводной смете </w:t>
      </w:r>
      <w:r>
        <w:rPr>
          <w:bCs/>
          <w:sz w:val="24"/>
          <w:szCs w:val="24"/>
        </w:rPr>
        <w:t>с приложениями</w:t>
      </w:r>
      <w:bookmarkStart w:id="23" w:name="_Ref361834251"/>
      <w:bookmarkEnd w:id="17"/>
      <w:r>
        <w:rPr>
          <w:sz w:val="24"/>
          <w:szCs w:val="24"/>
        </w:rPr>
        <w:t xml:space="preserve">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shd w:val="clear" w:color="auto" w:fill="FFFFFF"/>
        <w:tabs>
          <w:tab w:val="clear" w:pos="720"/>
          <w:tab w:val="left" w:pos="1134" w:leader="none"/>
          <w:tab w:val="left" w:pos="1418" w:leader="none"/>
        </w:tabs>
        <w:ind w:left="0" w:firstLine="709"/>
        <w:jc w:val="both"/>
        <w:rPr>
          <w:bCs/>
        </w:rPr>
      </w:pPr>
      <w:r>
        <w:rPr>
          <w:bCs/>
        </w:rPr>
        <w:t xml:space="preserve">3.10.  Индексация Цены Договора не допускается. </w:t>
      </w:r>
    </w:p>
    <w:p>
      <w:pPr>
        <w:pStyle w:val="Normal"/>
        <w:spacing w:lineRule="auto" w:line="240"/>
        <w:ind w:firstLine="709"/>
        <w:rPr>
          <w:sz w:val="24"/>
          <w:szCs w:val="24"/>
        </w:rPr>
      </w:pPr>
      <w:r>
        <w:rPr>
          <w:sz w:val="24"/>
          <w:szCs w:val="24"/>
        </w:rPr>
        <w:t xml:space="preserve">3.11.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w:t>
      </w:r>
      <w:bookmarkEnd w:id="23"/>
      <w:r>
        <w:rPr>
          <w:sz w:val="24"/>
          <w:szCs w:val="24"/>
        </w:rPr>
        <w:t xml:space="preserve"> </w:t>
      </w:r>
      <w:r>
        <w:rPr>
          <w:sz w:val="24"/>
          <w:szCs w:val="24"/>
          <w:shd w:fill="FFFFFF" w:val="clear"/>
        </w:rPr>
        <w:t>Работ.</w:t>
      </w:r>
    </w:p>
    <w:p>
      <w:pPr>
        <w:pStyle w:val="Normal"/>
        <w:spacing w:lineRule="auto" w:line="240"/>
        <w:ind w:firstLine="709"/>
        <w:rPr>
          <w:highlight w:val="yellow"/>
        </w:rPr>
      </w:pPr>
      <w:r>
        <w:rPr>
          <w:bCs/>
          <w:sz w:val="24"/>
          <w:szCs w:val="24"/>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20"/>
          <w:tab w:val="left" w:pos="1134" w:leader="none"/>
        </w:tabs>
        <w:ind w:left="0" w:firstLine="567"/>
        <w:jc w:val="both"/>
        <w:rPr>
          <w:bCs/>
        </w:rPr>
      </w:pPr>
      <w:r>
        <w:rPr>
          <w:bCs/>
        </w:rPr>
      </w:r>
    </w:p>
    <w:p>
      <w:pPr>
        <w:pStyle w:val="ListParagraph"/>
        <w:numPr>
          <w:ilvl w:val="0"/>
          <w:numId w:val="1"/>
        </w:numPr>
        <w:shd w:val="clear" w:color="auto" w:fill="FFFFFF"/>
        <w:tabs>
          <w:tab w:val="clear" w:pos="720"/>
          <w:tab w:val="left" w:pos="284" w:leader="none"/>
        </w:tabs>
        <w:ind w:left="0" w:hanging="0"/>
        <w:jc w:val="center"/>
        <w:rPr>
          <w:b/>
          <w:b/>
          <w:bCs/>
        </w:rPr>
      </w:pPr>
      <w:r>
        <w:rPr>
          <w:b/>
          <w:bCs/>
        </w:rPr>
        <w:t>Порядок сдачи-приемки Работ</w:t>
      </w:r>
    </w:p>
    <w:p>
      <w:pPr>
        <w:pStyle w:val="ListParagraph"/>
        <w:numPr>
          <w:ilvl w:val="1"/>
          <w:numId w:val="1"/>
        </w:numPr>
        <w:shd w:val="clear" w:color="auto" w:fill="FFFFFF"/>
        <w:tabs>
          <w:tab w:val="clear" w:pos="720"/>
          <w:tab w:val="left" w:pos="0" w:leader="none"/>
          <w:tab w:val="left" w:pos="1134" w:leader="none"/>
        </w:tabs>
        <w:ind w:left="0" w:firstLine="709"/>
        <w:jc w:val="both"/>
        <w:rPr>
          <w:bCs/>
        </w:rPr>
      </w:pPr>
      <w:r>
        <w:rPr>
          <w:bCs/>
        </w:rPr>
        <w:t>По завершении выполнения Работ по каждому Этапу Работ (</w:t>
      </w:r>
      <w:r>
        <w:rPr/>
        <w:t>кроме Этапов Работ по выполнению Инженерных изысканий</w:t>
      </w:r>
      <w:r>
        <w:rPr>
          <w:bCs/>
        </w:rPr>
        <w:t>), указанному в Календарном графике выполнения Работ (Приложение № 2 к Договору), Подрядчик представляет Заказчику подписанный со своей стороны в 2 (двух) экземплярах Акт сдачи-приемки выполненных работ по форме Приложения № 7 к Договору с приложением Результата работ по соответствующему Этапу Работ.</w:t>
      </w:r>
    </w:p>
    <w:p>
      <w:pPr>
        <w:pStyle w:val="ListParagraph"/>
        <w:shd w:val="clear" w:color="auto" w:fill="FFFFFF"/>
        <w:tabs>
          <w:tab w:val="clear" w:pos="720"/>
          <w:tab w:val="left" w:pos="0" w:leader="none"/>
        </w:tabs>
        <w:ind w:left="0" w:firstLine="709"/>
        <w:jc w:val="both"/>
        <w:rPr>
          <w:bCs/>
        </w:rPr>
      </w:pPr>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заданием (Приложение № 1 к Договору).</w:t>
      </w:r>
    </w:p>
    <w:p>
      <w:pPr>
        <w:pStyle w:val="ListParagraph"/>
        <w:shd w:val="clear" w:color="auto" w:fill="FFFFFF"/>
        <w:tabs>
          <w:tab w:val="clear" w:pos="720"/>
          <w:tab w:val="left" w:pos="0" w:leader="none"/>
        </w:tabs>
        <w:ind w:left="0" w:firstLine="709"/>
        <w:jc w:val="both"/>
        <w:rPr>
          <w:shd w:fill="FFFF00" w:val="clear"/>
        </w:rPr>
      </w:pPr>
      <w:r>
        <w:rPr>
          <w:rFonts w:ascii="Liberation Serif" w:hAnsi="Liberation Serif"/>
          <w:shd w:fill="FFFF00" w:val="clear"/>
          <w:lang w:eastAsia="en-US"/>
        </w:rPr>
        <w:t xml:space="preserve">При использовании Сторонами электронного документооборота, Стороны по договору вместо </w:t>
      </w:r>
      <w:r>
        <w:rPr>
          <w:rFonts w:ascii="Liberation Serif" w:hAnsi="Liberation Serif"/>
          <w:bCs/>
          <w:shd w:fill="FFFF00" w:val="clear"/>
          <w:lang w:eastAsia="en-US"/>
        </w:rPr>
        <w:t>Акта сдачи-приемки выполненных работ по форме Приложения № 7</w:t>
      </w:r>
      <w:r>
        <w:rPr>
          <w:rFonts w:ascii="Liberation Serif" w:hAnsi="Liberation Serif"/>
          <w:shd w:fill="FFFF00" w:val="clear"/>
          <w:lang w:eastAsia="en-US"/>
        </w:rPr>
        <w:t xml:space="preserve"> оформляют УПД</w:t>
      </w:r>
      <w:r>
        <w:rPr>
          <w:rStyle w:val="Style12"/>
          <w:rFonts w:ascii="Liberation Serif" w:hAnsi="Liberation Serif"/>
          <w:shd w:fill="FFFF00" w:val="clear"/>
          <w:lang w:eastAsia="en-US"/>
        </w:rPr>
        <w:footnoteReference w:id="9"/>
      </w:r>
      <w:r>
        <w:rPr>
          <w:rFonts w:ascii="Liberation Serif" w:hAnsi="Liberation Serif"/>
          <w:shd w:fill="FFFF00" w:val="clear"/>
          <w:lang w:eastAsia="en-US"/>
        </w:rPr>
        <w:t xml:space="preserve">. В этом случае условия Договора в отношении </w:t>
      </w:r>
      <w:r>
        <w:rPr>
          <w:rFonts w:ascii="Liberation Serif" w:hAnsi="Liberation Serif"/>
          <w:bCs/>
          <w:shd w:fill="FFFF00" w:val="clear"/>
          <w:lang w:eastAsia="en-US"/>
        </w:rPr>
        <w:t>Акта сдачи-приемки выполненных работ</w:t>
      </w:r>
      <w:r>
        <w:rPr>
          <w:rFonts w:ascii="Liberation Serif" w:hAnsi="Liberation Serif"/>
          <w:shd w:fill="FFFF00" w:val="clear"/>
          <w:lang w:eastAsia="en-US"/>
        </w:rPr>
        <w:t xml:space="preserve"> применяются в равной степени к УПД.</w:t>
      </w:r>
    </w:p>
    <w:p>
      <w:pPr>
        <w:pStyle w:val="ListParagraph"/>
        <w:numPr>
          <w:ilvl w:val="1"/>
          <w:numId w:val="1"/>
        </w:numPr>
        <w:shd w:val="clear" w:color="auto" w:fill="FFFFFF"/>
        <w:tabs>
          <w:tab w:val="clear" w:pos="720"/>
          <w:tab w:val="left" w:pos="0" w:leader="none"/>
          <w:tab w:val="left" w:pos="1134" w:leader="none"/>
        </w:tabs>
        <w:ind w:left="0" w:firstLine="709"/>
        <w:jc w:val="both"/>
        <w:rPr>
          <w:bCs/>
        </w:rPr>
      </w:pPr>
      <w:r>
        <w:rPr>
          <w:bCs/>
        </w:rPr>
        <w:t>По завершении выполнения Работ по каждому Этапу Работ по выполнению Инженерных изысканий, указанному в Календарном графике выполнения Работ (Приложение № 2 к Договору), Подрядчик представляет Заказчику подписанные со своей стороны:</w:t>
      </w:r>
    </w:p>
    <w:p>
      <w:pPr>
        <w:pStyle w:val="ListParagraph"/>
        <w:numPr>
          <w:ilvl w:val="2"/>
          <w:numId w:val="20"/>
        </w:numPr>
        <w:shd w:val="clear" w:color="auto" w:fill="FFFFFF"/>
        <w:tabs>
          <w:tab w:val="clear" w:pos="720"/>
          <w:tab w:val="left" w:pos="0" w:leader="none"/>
          <w:tab w:val="left" w:pos="1418" w:leader="none"/>
        </w:tabs>
        <w:ind w:left="0" w:firstLine="709"/>
        <w:jc w:val="both"/>
        <w:rPr>
          <w:bCs/>
        </w:rPr>
      </w:pPr>
      <w:r>
        <w:rPr>
          <w:bCs/>
        </w:rPr>
        <w:t>Исполнительную смету в 2 (двух) экземплярах;</w:t>
      </w:r>
    </w:p>
    <w:p>
      <w:pPr>
        <w:pStyle w:val="ListParagraph"/>
        <w:numPr>
          <w:ilvl w:val="2"/>
          <w:numId w:val="20"/>
        </w:numPr>
        <w:shd w:val="clear" w:color="auto" w:fill="FFFFFF"/>
        <w:tabs>
          <w:tab w:val="clear" w:pos="720"/>
          <w:tab w:val="left" w:pos="1418" w:leader="none"/>
        </w:tabs>
        <w:ind w:left="0" w:firstLine="709"/>
        <w:jc w:val="both"/>
        <w:rPr>
          <w:bCs/>
        </w:rPr>
      </w:pPr>
      <w:bookmarkStart w:id="24" w:name="_Ref373242517"/>
      <w:bookmarkStart w:id="25" w:name="_Ref361335138"/>
      <w:bookmarkStart w:id="26" w:name="_Ref361336754"/>
      <w:r>
        <w:rPr>
          <w:bCs/>
        </w:rPr>
        <w:t>Акт сдачи-приемки выполненных работ по форме Приложения № 7 к Договору в 2 (двух) экземплярах с приложением Результата работ по соответствующему Этапу Работ</w:t>
      </w:r>
      <w:bookmarkEnd w:id="24"/>
      <w:bookmarkEnd w:id="25"/>
      <w:bookmarkEnd w:id="26"/>
      <w:r>
        <w:rPr/>
        <w:t>.</w:t>
      </w:r>
    </w:p>
    <w:p>
      <w:pPr>
        <w:pStyle w:val="ListParagraph"/>
        <w:shd w:val="clear" w:color="auto" w:fill="FFFFFF"/>
        <w:tabs>
          <w:tab w:val="clear" w:pos="720"/>
          <w:tab w:val="left" w:pos="1134" w:leader="none"/>
        </w:tabs>
        <w:ind w:left="0" w:firstLine="709"/>
        <w:jc w:val="both"/>
        <w:rPr>
          <w:bCs/>
        </w:rPr>
      </w:pPr>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заданием (Приложение № 1 к Договору).</w:t>
      </w:r>
    </w:p>
    <w:p>
      <w:pPr>
        <w:pStyle w:val="ListParagraph"/>
        <w:numPr>
          <w:ilvl w:val="1"/>
          <w:numId w:val="1"/>
        </w:numPr>
        <w:shd w:val="clear" w:color="auto" w:fill="FFFFFF"/>
        <w:tabs>
          <w:tab w:val="clear" w:pos="720"/>
          <w:tab w:val="left" w:pos="568" w:leader="none"/>
          <w:tab w:val="left" w:pos="1134" w:leader="none"/>
        </w:tabs>
        <w:ind w:left="0" w:firstLine="709"/>
        <w:jc w:val="both"/>
        <w:rPr>
          <w:bCs/>
        </w:rPr>
      </w:pPr>
      <w:r>
        <w:rPr>
          <w:bCs/>
        </w:rPr>
        <w:t>В течение 15 (пятнадцати) рабочих дней с даты получения полного комплекта документов, указанных в пунктах 4.1, 4.2 Договора, Заказчик подписывает и передает Подрядчику 1 (один) экземпляр Акта сдачи-приемки выполненных работ и Исполнительной сметы (если применимо), либо направляет Подрядчику письменный мотивированный отказ от приемки Работ (Этапа Работ) (далее – «Ведомость замечаний»), в котором отражает недостатки и / или несоответствия Результата Работ (Этапа Работ) и / или Исполнительной сметы (если применимо), а также срок на их устранение.</w:t>
      </w:r>
      <w:r>
        <w:rPr/>
        <w:t xml:space="preserve"> </w:t>
      </w:r>
    </w:p>
    <w:p>
      <w:pPr>
        <w:pStyle w:val="ListParagraph"/>
        <w:numPr>
          <w:ilvl w:val="1"/>
          <w:numId w:val="1"/>
        </w:numPr>
        <w:shd w:val="clear" w:color="auto" w:fill="FFFFFF"/>
        <w:tabs>
          <w:tab w:val="clear" w:pos="720"/>
          <w:tab w:val="left" w:pos="568" w:leader="none"/>
          <w:tab w:val="left" w:pos="1134" w:leader="none"/>
        </w:tabs>
        <w:ind w:left="0" w:firstLine="709"/>
        <w:jc w:val="both"/>
        <w:rPr>
          <w:bCs/>
        </w:rPr>
      </w:pPr>
      <w:r>
        <w:rPr>
          <w:bCs/>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1"/>
        </w:numPr>
        <w:shd w:val="clear" w:color="auto" w:fill="FFFFFF"/>
        <w:tabs>
          <w:tab w:val="clear" w:pos="720"/>
          <w:tab w:val="left" w:pos="1134" w:leader="none"/>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 4.2 Договора.</w:t>
      </w:r>
    </w:p>
    <w:p>
      <w:pPr>
        <w:pStyle w:val="ListParagraph"/>
        <w:numPr>
          <w:ilvl w:val="1"/>
          <w:numId w:val="1"/>
        </w:numPr>
        <w:shd w:val="clear" w:color="auto" w:fill="FFFFFF"/>
        <w:tabs>
          <w:tab w:val="clear" w:pos="720"/>
          <w:tab w:val="left" w:pos="1134" w:leader="none"/>
        </w:tabs>
        <w:ind w:left="0" w:firstLine="709"/>
        <w:jc w:val="both"/>
        <w:rPr>
          <w:bCs/>
        </w:rPr>
      </w:pPr>
      <w:r>
        <w:rPr>
          <w:bCs/>
        </w:rPr>
        <w:t xml:space="preserve">Если Подрядчик не устранит недостатки и / или несоответствия Результата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1"/>
        </w:numPr>
        <w:shd w:val="clear" w:color="auto" w:fill="FFFFFF"/>
        <w:tabs>
          <w:tab w:val="clear" w:pos="720"/>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1"/>
        </w:numPr>
        <w:shd w:val="clear" w:color="auto" w:fill="FFFFFF"/>
        <w:tabs>
          <w:tab w:val="clear" w:pos="720"/>
          <w:tab w:val="left" w:pos="1134" w:leader="none"/>
        </w:tabs>
        <w:ind w:left="0" w:firstLine="709"/>
        <w:jc w:val="both"/>
        <w:rPr>
          <w:bCs/>
        </w:rPr>
      </w:pPr>
      <w:bookmarkStart w:id="27" w:name="_Ref361337635"/>
      <w:bookmarkEnd w:id="27"/>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shd w:val="clear" w:color="auto" w:fill="FFFFFF"/>
        <w:tabs>
          <w:tab w:val="clear" w:pos="720"/>
          <w:tab w:val="left" w:pos="1134" w:leader="none"/>
        </w:tabs>
        <w:ind w:left="567" w:hanging="0"/>
        <w:jc w:val="both"/>
        <w:rPr>
          <w:bCs/>
        </w:rPr>
      </w:pPr>
      <w:r>
        <w:rPr>
          <w:bCs/>
        </w:rPr>
      </w:r>
    </w:p>
    <w:p>
      <w:pPr>
        <w:pStyle w:val="ListParagraph"/>
        <w:numPr>
          <w:ilvl w:val="0"/>
          <w:numId w:val="1"/>
        </w:numPr>
        <w:shd w:val="clear" w:color="auto" w:fill="FFFFFF"/>
        <w:tabs>
          <w:tab w:val="clear" w:pos="720"/>
          <w:tab w:val="left" w:pos="284" w:leader="none"/>
        </w:tabs>
        <w:ind w:left="0" w:hanging="0"/>
        <w:jc w:val="center"/>
        <w:rPr>
          <w:b/>
          <w:b/>
          <w:bCs/>
        </w:rPr>
      </w:pPr>
      <w:r>
        <w:rPr>
          <w:b/>
          <w:bCs/>
        </w:rPr>
        <w:t>Право собственности и переход рисков</w:t>
      </w:r>
    </w:p>
    <w:p>
      <w:pPr>
        <w:pStyle w:val="ListParagraph"/>
        <w:numPr>
          <w:ilvl w:val="1"/>
          <w:numId w:val="1"/>
        </w:numPr>
        <w:shd w:val="clear" w:color="auto" w:fill="FFFFFF"/>
        <w:tabs>
          <w:tab w:val="clear" w:pos="720"/>
          <w:tab w:val="left" w:pos="1134" w:leader="none"/>
        </w:tabs>
        <w:ind w:left="0" w:firstLine="709"/>
        <w:jc w:val="both"/>
        <w:rPr>
          <w:bCs/>
        </w:rPr>
      </w:pPr>
      <w:bookmarkStart w:id="28" w:name="_Ref361405028"/>
      <w:bookmarkEnd w:id="28"/>
      <w:r>
        <w:rPr>
          <w:bCs/>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Приложения № 7 к Договору по соответствующему Этапу Работ.</w:t>
      </w:r>
    </w:p>
    <w:p>
      <w:pPr>
        <w:pStyle w:val="ListParagraph"/>
        <w:shd w:val="clear" w:color="auto" w:fill="FFFFFF"/>
        <w:tabs>
          <w:tab w:val="clear" w:pos="720"/>
          <w:tab w:val="left" w:pos="0" w:leader="none"/>
          <w:tab w:val="left" w:pos="1134" w:leader="none"/>
        </w:tabs>
        <w:ind w:left="0" w:firstLine="709"/>
        <w:jc w:val="both"/>
        <w:rPr>
          <w:bCs/>
        </w:rPr>
      </w:pPr>
      <w:r>
        <w:rPr>
          <w:bCs/>
        </w:rPr>
      </w:r>
    </w:p>
    <w:p>
      <w:pPr>
        <w:pStyle w:val="ListParagraph"/>
        <w:numPr>
          <w:ilvl w:val="0"/>
          <w:numId w:val="1"/>
        </w:numPr>
        <w:shd w:val="clear" w:color="auto" w:fill="FFFFFF"/>
        <w:tabs>
          <w:tab w:val="clear" w:pos="720"/>
          <w:tab w:val="left" w:pos="284" w:leader="none"/>
        </w:tabs>
        <w:ind w:left="0" w:hanging="0"/>
        <w:jc w:val="center"/>
        <w:rPr/>
      </w:pPr>
      <w:r>
        <w:rPr>
          <w:b/>
          <w:bCs/>
        </w:rPr>
        <w:t>Банковские гарантии</w:t>
      </w:r>
    </w:p>
    <w:p>
      <w:pPr>
        <w:pStyle w:val="ListParagraph"/>
        <w:numPr>
          <w:ilvl w:val="1"/>
          <w:numId w:val="1"/>
        </w:numPr>
        <w:shd w:val="clear" w:color="auto" w:fill="FFFFFF"/>
        <w:tabs>
          <w:tab w:val="clear" w:pos="720"/>
          <w:tab w:val="left" w:pos="1134" w:leader="none"/>
        </w:tabs>
        <w:ind w:left="0" w:firstLine="709"/>
        <w:jc w:val="both"/>
        <w:rPr/>
      </w:pPr>
      <w:r>
        <w:rPr>
          <w:bCs/>
        </w:rPr>
        <w:t>Банковская гарантия, предоставляемая Подрядчиком Заказчику по Договору, должна соответствовать следующим требованиям:</w:t>
      </w:r>
    </w:p>
    <w:p>
      <w:pPr>
        <w:pStyle w:val="ListParagraph"/>
        <w:numPr>
          <w:ilvl w:val="2"/>
          <w:numId w:val="1"/>
        </w:numPr>
        <w:shd w:val="clear" w:color="auto" w:fill="FFFFFF"/>
        <w:tabs>
          <w:tab w:val="clear" w:pos="720"/>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1"/>
        </w:numPr>
        <w:shd w:val="clear" w:color="auto" w:fill="FFFFFF"/>
        <w:tabs>
          <w:tab w:val="clear" w:pos="720"/>
          <w:tab w:val="left" w:pos="1418" w:leader="none"/>
        </w:tabs>
        <w:ind w:left="0" w:firstLine="709"/>
        <w:jc w:val="both"/>
        <w:rPr>
          <w:bCs/>
        </w:rPr>
      </w:pPr>
      <w:r>
        <w:rPr>
          <w:bCs/>
        </w:rPr>
        <w:t>Бенефициар по Банковской гарантии – Заказчик, принципал – Подрядчик;</w:t>
      </w:r>
    </w:p>
    <w:p>
      <w:pPr>
        <w:pStyle w:val="ListParagraph"/>
        <w:numPr>
          <w:ilvl w:val="2"/>
          <w:numId w:val="1"/>
        </w:numPr>
        <w:shd w:val="clear" w:color="auto" w:fill="FFFFFF"/>
        <w:tabs>
          <w:tab w:val="clear" w:pos="720"/>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1"/>
        </w:numPr>
        <w:shd w:val="clear" w:color="auto" w:fill="FFFFFF"/>
        <w:tabs>
          <w:tab w:val="clear" w:pos="720"/>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w:t>
        <w:br/>
        <w:t xml:space="preserve">в совокупной сумме с учетом ранее выплаченных Подрядчику и неотработанных авансовых платежей; </w:t>
      </w:r>
    </w:p>
    <w:p>
      <w:pPr>
        <w:pStyle w:val="ListParagraph"/>
        <w:numPr>
          <w:ilvl w:val="2"/>
          <w:numId w:val="1"/>
        </w:numPr>
        <w:shd w:val="clear" w:color="auto" w:fill="FFFFFF"/>
        <w:tabs>
          <w:tab w:val="clear" w:pos="720"/>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Подрядчиком нарушений, в том числе в случаях:</w:t>
      </w:r>
    </w:p>
    <w:p>
      <w:pPr>
        <w:pStyle w:val="Normal"/>
        <w:numPr>
          <w:ilvl w:val="0"/>
          <w:numId w:val="2"/>
        </w:numPr>
        <w:tabs>
          <w:tab w:val="clear" w:pos="720"/>
          <w:tab w:val="left" w:pos="1418" w:leader="none"/>
        </w:tabs>
        <w:spacing w:lineRule="auto" w:line="240"/>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pPr>
        <w:pStyle w:val="Normal"/>
        <w:numPr>
          <w:ilvl w:val="0"/>
          <w:numId w:val="2"/>
        </w:numPr>
        <w:tabs>
          <w:tab w:val="clear" w:pos="720"/>
          <w:tab w:val="left" w:pos="1418" w:leader="none"/>
        </w:tabs>
        <w:spacing w:lineRule="auto" w:line="240"/>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numPr>
          <w:ilvl w:val="0"/>
          <w:numId w:val="2"/>
        </w:numPr>
        <w:tabs>
          <w:tab w:val="clear" w:pos="720"/>
          <w:tab w:val="left" w:pos="1418" w:leader="none"/>
        </w:tabs>
        <w:spacing w:lineRule="auto" w:line="240"/>
        <w:ind w:left="0" w:firstLine="709"/>
        <w:rPr>
          <w:bCs/>
          <w:sz w:val="24"/>
          <w:szCs w:val="24"/>
        </w:rPr>
      </w:pPr>
      <w:r>
        <w:rPr>
          <w:bCs/>
          <w:sz w:val="24"/>
          <w:szCs w:val="24"/>
        </w:rPr>
        <w:t>нарушения Подрядчиком сроков</w:t>
      </w:r>
      <w:r>
        <w:rPr>
          <w:sz w:val="24"/>
          <w:szCs w:val="24"/>
        </w:rPr>
        <w:t xml:space="preserve"> </w:t>
      </w:r>
      <w:r>
        <w:rPr>
          <w:bCs/>
          <w:sz w:val="24"/>
          <w:szCs w:val="24"/>
        </w:rPr>
        <w:t>выполнения Работ, установленных Календарным графиком выполнения Работ (Приложение № 2 к Договору) более, чем на 60 (шестьдесят) календарных дней;</w:t>
      </w:r>
    </w:p>
    <w:p>
      <w:pPr>
        <w:pStyle w:val="Normal"/>
        <w:numPr>
          <w:ilvl w:val="0"/>
          <w:numId w:val="2"/>
        </w:numPr>
        <w:tabs>
          <w:tab w:val="clear" w:pos="720"/>
          <w:tab w:val="left" w:pos="1418" w:leader="none"/>
        </w:tabs>
        <w:spacing w:lineRule="auto" w:line="240"/>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Normal"/>
        <w:numPr>
          <w:ilvl w:val="0"/>
          <w:numId w:val="2"/>
        </w:numPr>
        <w:tabs>
          <w:tab w:val="clear" w:pos="720"/>
          <w:tab w:val="left" w:pos="1418" w:leader="none"/>
        </w:tabs>
        <w:spacing w:lineRule="auto" w:line="240"/>
        <w:ind w:left="0" w:firstLine="709"/>
        <w:rPr>
          <w:bCs/>
          <w:sz w:val="24"/>
          <w:szCs w:val="24"/>
        </w:rPr>
      </w:pPr>
      <w:r>
        <w:rPr>
          <w:sz w:val="24"/>
          <w:szCs w:val="24"/>
        </w:rPr>
        <w:t>прекращения членства в СРО, основанной на членстве лиц, осуществляющих / выполняющих инженерные изыскания / подготовку проектной документации</w:t>
      </w:r>
      <w:r>
        <w:rPr>
          <w:bCs/>
          <w:sz w:val="24"/>
          <w:szCs w:val="24"/>
        </w:rPr>
        <w:t>;</w:t>
      </w:r>
    </w:p>
    <w:p>
      <w:pPr>
        <w:pStyle w:val="Normal"/>
        <w:numPr>
          <w:ilvl w:val="0"/>
          <w:numId w:val="2"/>
        </w:numPr>
        <w:tabs>
          <w:tab w:val="clear" w:pos="720"/>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Подрядчика;</w:t>
      </w:r>
    </w:p>
    <w:p>
      <w:pPr>
        <w:pStyle w:val="Normal"/>
        <w:numPr>
          <w:ilvl w:val="0"/>
          <w:numId w:val="2"/>
        </w:numPr>
        <w:tabs>
          <w:tab w:val="clear" w:pos="720"/>
          <w:tab w:val="left" w:pos="1418" w:leader="none"/>
        </w:tabs>
        <w:spacing w:lineRule="auto" w:line="240"/>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2"/>
        </w:numPr>
        <w:tabs>
          <w:tab w:val="clear" w:pos="720"/>
          <w:tab w:val="left" w:pos="1418" w:leader="none"/>
        </w:tabs>
        <w:spacing w:lineRule="auto" w:line="240"/>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pPr>
        <w:pStyle w:val="Normal"/>
        <w:numPr>
          <w:ilvl w:val="0"/>
          <w:numId w:val="2"/>
        </w:numPr>
        <w:tabs>
          <w:tab w:val="clear" w:pos="720"/>
          <w:tab w:val="left" w:pos="1418" w:leader="none"/>
        </w:tabs>
        <w:spacing w:lineRule="auto" w:line="240"/>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20"/>
          <w:tab w:val="left" w:pos="1418" w:leader="none"/>
        </w:tabs>
        <w:ind w:left="0" w:firstLine="709"/>
        <w:jc w:val="both"/>
        <w:rPr>
          <w:bCs/>
        </w:rPr>
      </w:pPr>
      <w:r>
        <w:rPr>
          <w:bC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w:t>
      </w:r>
      <w:r>
        <w:rPr>
          <w:bCs/>
          <w:shd w:fill="FFFFFF" w:val="clear"/>
        </w:rPr>
        <w:t>подтверждающего факт осуществления Заказчиком авансового платежа, с отметкой банка об исполнении.</w:t>
      </w:r>
    </w:p>
    <w:p>
      <w:pPr>
        <w:pStyle w:val="ListParagraph"/>
        <w:numPr>
          <w:ilvl w:val="2"/>
          <w:numId w:val="1"/>
        </w:numPr>
        <w:shd w:val="clear" w:color="auto" w:fill="FFFFFF"/>
        <w:tabs>
          <w:tab w:val="clear" w:pos="720"/>
          <w:tab w:val="left" w:pos="1418" w:leader="none"/>
        </w:tabs>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pPr>
        <w:pStyle w:val="ListParagraph"/>
        <w:numPr>
          <w:ilvl w:val="2"/>
          <w:numId w:val="1"/>
        </w:numPr>
        <w:shd w:val="clear" w:color="auto" w:fill="FFFFFF"/>
        <w:tabs>
          <w:tab w:val="clear" w:pos="720"/>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Работ по Этапу Работ, установленной Договором;</w:t>
      </w:r>
    </w:p>
    <w:p>
      <w:pPr>
        <w:pStyle w:val="ListParagraph"/>
        <w:numPr>
          <w:ilvl w:val="2"/>
          <w:numId w:val="1"/>
        </w:numPr>
        <w:shd w:val="clear" w:color="auto" w:fill="FFFFFF"/>
        <w:tabs>
          <w:tab w:val="clear" w:pos="720"/>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1"/>
        </w:numPr>
        <w:shd w:val="clear" w:color="auto" w:fill="FFFFFF"/>
        <w:tabs>
          <w:tab w:val="clear" w:pos="720"/>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Амурской области в качестве органа, компетентного разрешать споры из Банковской гарантии;</w:t>
      </w:r>
    </w:p>
    <w:p>
      <w:pPr>
        <w:pStyle w:val="ListParagraph"/>
        <w:numPr>
          <w:ilvl w:val="2"/>
          <w:numId w:val="1"/>
        </w:numPr>
        <w:shd w:val="clear" w:color="auto" w:fill="FFFFFF"/>
        <w:tabs>
          <w:tab w:val="clear" w:pos="720"/>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пункте 6.1 Договора, или делающих такие требования неисполнимыми.</w:t>
      </w:r>
    </w:p>
    <w:p>
      <w:pPr>
        <w:pStyle w:val="Normal"/>
        <w:numPr>
          <w:ilvl w:val="1"/>
          <w:numId w:val="1"/>
        </w:numPr>
        <w:tabs>
          <w:tab w:val="clear" w:pos="720"/>
          <w:tab w:val="left" w:pos="1134" w:leader="none"/>
        </w:tabs>
        <w:spacing w:lineRule="auto" w:line="240"/>
        <w:ind w:left="0" w:firstLine="709"/>
        <w:rPr>
          <w:bCs/>
          <w:sz w:val="24"/>
          <w:szCs w:val="24"/>
        </w:rPr>
      </w:pPr>
      <w:r>
        <w:rPr>
          <w:bCs/>
          <w:sz w:val="24"/>
          <w:szCs w:val="24"/>
        </w:rPr>
        <w:t>Банк, выдавший Банковскую гарантию, должен соответствовать критериям, указанным в Приложении № 8 к Договору.</w:t>
      </w:r>
    </w:p>
    <w:p>
      <w:pPr>
        <w:pStyle w:val="ListParagraph"/>
        <w:numPr>
          <w:ilvl w:val="1"/>
          <w:numId w:val="1"/>
        </w:numPr>
        <w:shd w:val="clear" w:color="auto" w:fill="FFFFFF"/>
        <w:tabs>
          <w:tab w:val="clear" w:pos="720"/>
          <w:tab w:val="left" w:pos="1134" w:leader="none"/>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1"/>
        </w:numPr>
        <w:shd w:val="clear" w:color="auto" w:fill="FFFFFF"/>
        <w:tabs>
          <w:tab w:val="clear" w:pos="720"/>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(соответствующего Этапа Работ) при условии подтверждения их выполнения.</w:t>
      </w:r>
    </w:p>
    <w:p>
      <w:pPr>
        <w:pStyle w:val="ListParagraph"/>
        <w:numPr>
          <w:ilvl w:val="1"/>
          <w:numId w:val="1"/>
        </w:numPr>
        <w:shd w:val="clear" w:color="auto" w:fill="FFFFFF"/>
        <w:tabs>
          <w:tab w:val="clear" w:pos="720"/>
          <w:tab w:val="left" w:pos="1134" w:leader="none"/>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1"/>
        </w:numPr>
        <w:shd w:val="clear" w:color="auto" w:fill="FFFFFF"/>
        <w:tabs>
          <w:tab w:val="clear" w:pos="720"/>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1"/>
        </w:numPr>
        <w:shd w:val="clear" w:color="auto" w:fill="FFFFFF"/>
        <w:tabs>
          <w:tab w:val="clear" w:pos="720"/>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1"/>
        </w:numPr>
        <w:shd w:val="clear" w:color="auto" w:fill="FFFFFF"/>
        <w:tabs>
          <w:tab w:val="clear" w:pos="720"/>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20"/>
          <w:tab w:val="left" w:pos="1134" w:leader="none"/>
        </w:tabs>
        <w:ind w:left="0" w:firstLine="709"/>
        <w:jc w:val="both"/>
        <w:rPr>
          <w:bCs/>
        </w:rPr>
      </w:pPr>
      <w:r>
        <w:rPr>
          <w:bCs/>
        </w:rPr>
        <w:t>Подрядчик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w:t>
      </w:r>
      <w:r>
        <w:rPr/>
        <w:t>.</w:t>
      </w:r>
    </w:p>
    <w:p>
      <w:pPr>
        <w:pStyle w:val="ListParagraph"/>
        <w:numPr>
          <w:ilvl w:val="1"/>
          <w:numId w:val="1"/>
        </w:numPr>
        <w:shd w:val="clear" w:color="auto" w:fill="FFFFFF"/>
        <w:tabs>
          <w:tab w:val="clear" w:pos="720"/>
          <w:tab w:val="left" w:pos="1134" w:leader="none"/>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1"/>
        </w:numPr>
        <w:shd w:val="clear" w:color="auto" w:fill="FFFFFF"/>
        <w:tabs>
          <w:tab w:val="clear" w:pos="720"/>
          <w:tab w:val="left" w:pos="1134" w:leader="none"/>
        </w:tabs>
        <w:ind w:left="0" w:firstLine="709"/>
        <w:jc w:val="both"/>
        <w:rPr/>
      </w:pPr>
      <w:r>
        <w:rPr>
          <w:bCs/>
          <w:shd w:fill="FFFFFF" w:val="clea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shd w:val="clear" w:color="auto" w:fill="FFFFFF"/>
        <w:tabs>
          <w:tab w:val="clear" w:pos="720"/>
          <w:tab w:val="left" w:pos="1134" w:leader="none"/>
        </w:tabs>
        <w:ind w:left="709" w:hanging="0"/>
        <w:jc w:val="both"/>
        <w:rPr>
          <w:bCs/>
        </w:rPr>
      </w:pPr>
      <w:r>
        <w:rPr>
          <w:bCs/>
        </w:rPr>
      </w:r>
    </w:p>
    <w:p>
      <w:pPr>
        <w:pStyle w:val="ListParagraph"/>
        <w:numPr>
          <w:ilvl w:val="0"/>
          <w:numId w:val="1"/>
        </w:numPr>
        <w:shd w:val="clear" w:color="auto" w:fill="FFFFFF"/>
        <w:tabs>
          <w:tab w:val="clear" w:pos="720"/>
          <w:tab w:val="left" w:pos="284" w:leader="none"/>
        </w:tabs>
        <w:ind w:left="0" w:hanging="0"/>
        <w:jc w:val="center"/>
        <w:rPr>
          <w:b/>
          <w:b/>
          <w:bCs/>
        </w:rPr>
      </w:pPr>
      <w:r>
        <w:rPr>
          <w:b/>
          <w:bCs/>
        </w:rPr>
        <w:t>Ответственность Сторон</w:t>
      </w:r>
    </w:p>
    <w:p>
      <w:pPr>
        <w:pStyle w:val="ListParagraph"/>
        <w:numPr>
          <w:ilvl w:val="1"/>
          <w:numId w:val="1"/>
        </w:numPr>
        <w:shd w:val="clear" w:color="auto" w:fill="FFFFFF"/>
        <w:tabs>
          <w:tab w:val="clear" w:pos="720"/>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1"/>
        </w:numPr>
        <w:tabs>
          <w:tab w:val="clear" w:pos="720"/>
          <w:tab w:val="left" w:pos="1134" w:leader="none"/>
        </w:tabs>
        <w:spacing w:lineRule="auto" w:line="240"/>
        <w:ind w:left="0" w:firstLine="709"/>
        <w:rPr>
          <w:bCs/>
          <w:sz w:val="24"/>
          <w:szCs w:val="24"/>
        </w:rPr>
      </w:pPr>
      <w:r>
        <w:rPr>
          <w:bCs/>
          <w:sz w:val="24"/>
          <w:szCs w:val="24"/>
          <w:shd w:fill="FFFFFF" w:val="clear"/>
        </w:rPr>
        <w:t xml:space="preserve">Заказчик не несет ответственность за ненадлежащее исполнение обязательств по внесению предварительной оплаты (аванса). </w:t>
      </w:r>
      <w:r>
        <w:rPr>
          <w:bCs/>
          <w:sz w:val="24"/>
          <w:szCs w:val="24"/>
        </w:rPr>
        <w:t xml:space="preserve"> 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p>
    <w:p>
      <w:pPr>
        <w:pStyle w:val="Normal"/>
        <w:numPr>
          <w:ilvl w:val="1"/>
          <w:numId w:val="1"/>
        </w:numPr>
        <w:tabs>
          <w:tab w:val="clear" w:pos="720"/>
          <w:tab w:val="left" w:pos="1134" w:leader="none"/>
        </w:tabs>
        <w:spacing w:lineRule="auto" w:line="240"/>
        <w:ind w:left="0" w:firstLine="709"/>
        <w:rPr>
          <w:bCs/>
          <w:sz w:val="24"/>
          <w:szCs w:val="24"/>
        </w:rPr>
      </w:pPr>
      <w:r>
        <w:rPr>
          <w:bCs/>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w:t>
      </w:r>
      <w:r>
        <w:rPr>
          <w:sz w:val="24"/>
          <w:szCs w:val="24"/>
        </w:rPr>
        <w:t>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но не более 5 % от Цены Договора, 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numPr>
          <w:ilvl w:val="1"/>
          <w:numId w:val="1"/>
        </w:numPr>
        <w:tabs>
          <w:tab w:val="clear" w:pos="720"/>
          <w:tab w:val="left" w:pos="1134" w:leader="none"/>
        </w:tabs>
        <w:spacing w:lineRule="auto" w:line="240"/>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ListParagraph"/>
        <w:numPr>
          <w:ilvl w:val="2"/>
          <w:numId w:val="1"/>
        </w:numPr>
        <w:shd w:val="clear" w:color="auto" w:fill="FFFFFF"/>
        <w:tabs>
          <w:tab w:val="clear" w:pos="720"/>
          <w:tab w:val="left" w:pos="0" w:leader="none"/>
          <w:tab w:val="left" w:pos="709" w:leader="none"/>
          <w:tab w:val="left" w:pos="1276" w:leader="none"/>
          <w:tab w:val="left" w:pos="1418" w:leader="none"/>
        </w:tabs>
        <w:ind w:left="0" w:firstLine="709"/>
        <w:jc w:val="both"/>
        <w:rPr/>
      </w:pPr>
      <w:r>
        <w:rPr/>
        <w:t>Неустойки в размере 0,1 (ноль целых и одна десятая) процента от стоимости Этапа Работ за каждый день просрочки</w:t>
      </w:r>
      <w:r>
        <w:rPr>
          <w:rFonts w:eastAsia="Calibri"/>
          <w:bCs/>
        </w:rPr>
        <w:t>;</w:t>
      </w:r>
    </w:p>
    <w:p>
      <w:pPr>
        <w:pStyle w:val="ListParagraph"/>
        <w:numPr>
          <w:ilvl w:val="2"/>
          <w:numId w:val="1"/>
        </w:numPr>
        <w:shd w:val="clear" w:color="auto" w:fill="FFFFFF"/>
        <w:tabs>
          <w:tab w:val="clear" w:pos="720"/>
          <w:tab w:val="left" w:pos="0" w:leader="none"/>
          <w:tab w:val="left" w:pos="709" w:leader="none"/>
          <w:tab w:val="left" w:pos="1276" w:leader="none"/>
          <w:tab w:val="left" w:pos="1418" w:leader="none"/>
        </w:tabs>
        <w:ind w:left="0" w:firstLine="709"/>
        <w:jc w:val="both"/>
        <w:rPr/>
      </w:pPr>
      <w:r>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w:t>
      </w:r>
      <w:r>
        <w:rPr>
          <w:rFonts w:eastAsia="Calibri"/>
          <w:bCs/>
        </w:rPr>
        <w:t xml:space="preserve">; </w:t>
      </w:r>
    </w:p>
    <w:p>
      <w:pPr>
        <w:pStyle w:val="ListParagraph"/>
        <w:numPr>
          <w:ilvl w:val="2"/>
          <w:numId w:val="1"/>
        </w:numPr>
        <w:shd w:val="clear" w:color="auto" w:fill="FFFFFF"/>
        <w:tabs>
          <w:tab w:val="clear" w:pos="720"/>
          <w:tab w:val="left" w:pos="0" w:leader="none"/>
          <w:tab w:val="left" w:pos="709" w:leader="none"/>
          <w:tab w:val="left" w:pos="1276" w:leader="none"/>
          <w:tab w:val="left" w:pos="1418" w:leader="none"/>
        </w:tabs>
        <w:spacing w:lineRule="auto" w:line="247" w:before="0" w:after="5"/>
        <w:ind w:left="0" w:firstLine="709"/>
        <w:contextualSpacing/>
        <w:jc w:val="both"/>
        <w:rPr/>
      </w:pPr>
      <w:r>
        <w:rPr>
          <w:rFonts w:eastAsia="Calibri"/>
          <w:bCs/>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rPr>
        <w:t xml:space="preserve">в целом </w:t>
      </w:r>
      <w:r>
        <w:rPr>
          <w:rFonts w:eastAsia="Calibri"/>
          <w:bCs/>
        </w:rPr>
        <w:t>по Договору.</w:t>
      </w:r>
    </w:p>
    <w:p>
      <w:pPr>
        <w:pStyle w:val="Normal"/>
        <w:widowControl w:val="false"/>
        <w:numPr>
          <w:ilvl w:val="1"/>
          <w:numId w:val="1"/>
        </w:numPr>
        <w:shd w:val="clear" w:color="auto" w:fill="FFFFFF"/>
        <w:tabs>
          <w:tab w:val="clear" w:pos="720"/>
          <w:tab w:val="left" w:pos="1134" w:leader="none"/>
        </w:tabs>
        <w:spacing w:lineRule="auto" w:line="240"/>
        <w:ind w:left="0" w:firstLine="709"/>
        <w:rPr>
          <w:sz w:val="24"/>
          <w:szCs w:val="24"/>
        </w:rPr>
      </w:pPr>
      <w:r>
        <w:rPr>
          <w:kern w:val="2"/>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numPr>
          <w:ilvl w:val="1"/>
          <w:numId w:val="1"/>
        </w:numPr>
        <w:shd w:val="clear" w:color="auto" w:fill="FFFFFF"/>
        <w:tabs>
          <w:tab w:val="clear" w:pos="720"/>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6 к Договору. </w:t>
      </w:r>
    </w:p>
    <w:p>
      <w:pPr>
        <w:pStyle w:val="ListParagraph"/>
        <w:numPr>
          <w:ilvl w:val="1"/>
          <w:numId w:val="1"/>
        </w:numPr>
        <w:shd w:val="clear" w:color="auto" w:fill="FFFFFF"/>
        <w:tabs>
          <w:tab w:val="clear" w:pos="720"/>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4.8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1"/>
        </w:numPr>
        <w:shd w:val="clear" w:color="auto" w:fill="FFFFFF"/>
        <w:tabs>
          <w:tab w:val="clear" w:pos="720"/>
          <w:tab w:val="left" w:pos="1134" w:leader="none"/>
        </w:tabs>
        <w:ind w:left="0" w:firstLine="709"/>
        <w:jc w:val="both"/>
        <w:rPr>
          <w:bCs/>
        </w:rPr>
      </w:pPr>
      <w:r>
        <w:rPr>
          <w:bCs/>
        </w:rPr>
        <w:t>За не 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целых три сотых) % от цены Договора за каждый день просрочки.</w:t>
      </w:r>
    </w:p>
    <w:p>
      <w:pPr>
        <w:pStyle w:val="ListParagraph"/>
        <w:numPr>
          <w:ilvl w:val="1"/>
          <w:numId w:val="1"/>
        </w:numPr>
        <w:shd w:val="clear" w:color="auto" w:fill="FFFFFF"/>
        <w:tabs>
          <w:tab w:val="clear" w:pos="720"/>
          <w:tab w:val="left" w:pos="1134" w:leader="none"/>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r>
        <w:rPr>
          <w:color w:val="000000"/>
        </w:rPr>
        <w:t xml:space="preserve"> </w:t>
      </w:r>
    </w:p>
    <w:p>
      <w:pPr>
        <w:pStyle w:val="ListParagraph"/>
        <w:numPr>
          <w:ilvl w:val="1"/>
          <w:numId w:val="1"/>
        </w:numPr>
        <w:shd w:val="clear" w:color="auto" w:fill="FFFFFF"/>
        <w:tabs>
          <w:tab w:val="clear" w:pos="720"/>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
        </w:numPr>
        <w:shd w:val="clear" w:color="auto" w:fill="FFFFFF"/>
        <w:tabs>
          <w:tab w:val="clear" w:pos="720"/>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
        </w:numPr>
        <w:shd w:val="clear" w:color="auto" w:fill="FFFFFF"/>
        <w:tabs>
          <w:tab w:val="clear" w:pos="720"/>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1"/>
        </w:numPr>
        <w:shd w:val="clear" w:color="auto" w:fill="FFFFFF"/>
        <w:tabs>
          <w:tab w:val="clear" w:pos="720"/>
          <w:tab w:val="left" w:pos="1134" w:leader="none"/>
        </w:tabs>
        <w:ind w:left="0" w:firstLine="709"/>
        <w:jc w:val="both"/>
        <w:rPr>
          <w:bCs/>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pPr>
        <w:pStyle w:val="ListParagraph"/>
        <w:numPr>
          <w:ilvl w:val="1"/>
          <w:numId w:val="1"/>
        </w:numPr>
        <w:shd w:val="clear" w:color="auto" w:fill="FFFFFF"/>
        <w:tabs>
          <w:tab w:val="clear" w:pos="720"/>
          <w:tab w:val="left" w:pos="1134" w:leader="none"/>
        </w:tabs>
        <w:ind w:left="0" w:firstLine="709"/>
        <w:jc w:val="both"/>
        <w:rPr/>
      </w:pPr>
      <w:r>
        <w:rPr>
          <w:color w:val="000000"/>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1"/>
        </w:numPr>
        <w:shd w:val="clear" w:color="auto" w:fill="FFFFFF"/>
        <w:tabs>
          <w:tab w:val="clear" w:pos="720"/>
          <w:tab w:val="left" w:pos="1134" w:leader="none"/>
        </w:tabs>
        <w:ind w:left="0" w:firstLine="709"/>
        <w:jc w:val="both"/>
        <w:rPr/>
      </w:pPr>
      <w: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1"/>
        </w:numPr>
        <w:shd w:val="clear" w:color="auto" w:fill="FFFFFF"/>
        <w:tabs>
          <w:tab w:val="clear" w:pos="720"/>
          <w:tab w:val="left" w:pos="142" w:leader="none"/>
          <w:tab w:val="left" w:pos="1134" w:leader="none"/>
        </w:tabs>
        <w:ind w:left="0" w:firstLine="709"/>
        <w:jc w:val="both"/>
        <w:rPr/>
      </w:pPr>
      <w:r>
        <w:rPr>
          <w:bCs/>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ListParagraph"/>
        <w:numPr>
          <w:ilvl w:val="1"/>
          <w:numId w:val="1"/>
        </w:numPr>
        <w:shd w:val="clear" w:color="auto" w:fill="FFFFFF"/>
        <w:tabs>
          <w:tab w:val="clear" w:pos="720"/>
          <w:tab w:val="left" w:pos="142" w:leader="none"/>
          <w:tab w:val="left" w:pos="1134" w:leader="none"/>
        </w:tabs>
        <w:ind w:left="0" w:firstLine="709"/>
        <w:jc w:val="both"/>
        <w:rPr/>
      </w:pPr>
      <w:r>
        <w:rPr>
          <w:bCs/>
        </w:rPr>
        <w:t>В случае нарушения Подрядчиком обязательств по выполнению работ (этапа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результаты работ,</w:t>
      </w:r>
      <w:r>
        <w:rPr>
          <w:kern w:val="2"/>
        </w:rPr>
        <w:t xml:space="preserve"> ранее принятые по Договору, и потребовать возврата уплаченных денежных средств.</w:t>
      </w:r>
    </w:p>
    <w:p>
      <w:pPr>
        <w:pStyle w:val="ListParagraph"/>
        <w:shd w:val="clear" w:color="auto" w:fill="FFFFFF"/>
        <w:tabs>
          <w:tab w:val="clear" w:pos="720"/>
          <w:tab w:val="left" w:pos="1134" w:leader="none"/>
        </w:tabs>
        <w:ind w:left="709" w:hanging="0"/>
        <w:jc w:val="both"/>
        <w:rPr/>
      </w:pPr>
      <w:r>
        <w:rPr/>
      </w:r>
    </w:p>
    <w:p>
      <w:pPr>
        <w:pStyle w:val="Normal"/>
        <w:shd w:val="clear" w:color="auto" w:fill="FFFFFF"/>
        <w:tabs>
          <w:tab w:val="clear" w:pos="720"/>
          <w:tab w:val="left" w:pos="566" w:leader="none"/>
        </w:tabs>
        <w:spacing w:lineRule="auto" w:line="240"/>
        <w:ind w:hanging="0"/>
        <w:rPr>
          <w:color w:val="000000"/>
          <w:sz w:val="24"/>
          <w:szCs w:val="24"/>
        </w:rPr>
      </w:pPr>
      <w:r>
        <w:rPr>
          <w:color w:val="000000"/>
          <w:sz w:val="24"/>
          <w:szCs w:val="24"/>
        </w:rPr>
      </w:r>
    </w:p>
    <w:p>
      <w:pPr>
        <w:pStyle w:val="ListParagraph"/>
        <w:numPr>
          <w:ilvl w:val="0"/>
          <w:numId w:val="1"/>
        </w:numPr>
        <w:shd w:val="clear" w:color="auto" w:fill="FFFFFF"/>
        <w:tabs>
          <w:tab w:val="clear" w:pos="720"/>
          <w:tab w:val="left" w:pos="426" w:leader="none"/>
        </w:tabs>
        <w:ind w:left="0" w:hanging="0"/>
        <w:jc w:val="center"/>
        <w:rPr/>
      </w:pPr>
      <w:r>
        <w:rPr>
          <w:b/>
          <w:bCs/>
        </w:rPr>
        <w:t>Исключительные права и патенты</w:t>
      </w:r>
    </w:p>
    <w:p>
      <w:pPr>
        <w:pStyle w:val="ListParagraph"/>
        <w:numPr>
          <w:ilvl w:val="1"/>
          <w:numId w:val="1"/>
        </w:numPr>
        <w:shd w:val="clear" w:color="auto" w:fill="FFFFFF"/>
        <w:tabs>
          <w:tab w:val="clear" w:pos="720"/>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
        </w:numPr>
        <w:shd w:val="clear" w:color="auto" w:fill="FFFFFF"/>
        <w:tabs>
          <w:tab w:val="clear" w:pos="720"/>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
        </w:numPr>
        <w:shd w:val="clear" w:color="auto" w:fill="FFFFFF"/>
        <w:tabs>
          <w:tab w:val="clear" w:pos="720"/>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pPr>
        <w:pStyle w:val="ListParagraph"/>
        <w:numPr>
          <w:ilvl w:val="1"/>
          <w:numId w:val="1"/>
        </w:numPr>
        <w:shd w:val="clear" w:color="auto" w:fill="FFFFFF"/>
        <w:tabs>
          <w:tab w:val="clear" w:pos="720"/>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
        </w:numPr>
        <w:shd w:val="clear" w:color="auto" w:fill="FFFFFF"/>
        <w:tabs>
          <w:tab w:val="clear" w:pos="720"/>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20"/>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1"/>
        </w:numPr>
        <w:shd w:val="clear" w:color="auto" w:fill="FFFFFF"/>
        <w:tabs>
          <w:tab w:val="clear" w:pos="720"/>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
        </w:numPr>
        <w:shd w:val="clear" w:color="auto" w:fill="FFFFFF"/>
        <w:tabs>
          <w:tab w:val="clear" w:pos="720"/>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20"/>
          <w:tab w:val="left" w:pos="1134" w:leader="none"/>
        </w:tabs>
        <w:ind w:left="709" w:hanging="0"/>
        <w:jc w:val="both"/>
        <w:rPr>
          <w:bCs/>
        </w:rPr>
      </w:pPr>
      <w:r>
        <w:rPr>
          <w:bCs/>
        </w:rPr>
      </w:r>
    </w:p>
    <w:p>
      <w:pPr>
        <w:pStyle w:val="ListParagraph"/>
        <w:numPr>
          <w:ilvl w:val="0"/>
          <w:numId w:val="1"/>
        </w:numPr>
        <w:shd w:val="clear" w:color="auto" w:fill="FFFFFF"/>
        <w:tabs>
          <w:tab w:val="clear" w:pos="720"/>
          <w:tab w:val="left" w:pos="426" w:leader="none"/>
        </w:tabs>
        <w:ind w:left="0" w:hanging="0"/>
        <w:jc w:val="center"/>
        <w:rPr>
          <w:b/>
          <w:b/>
          <w:bCs/>
        </w:rPr>
      </w:pPr>
      <w:r>
        <w:rPr>
          <w:b/>
          <w:bCs/>
        </w:rPr>
        <w:t>Конфиденциальность</w:t>
      </w:r>
    </w:p>
    <w:p>
      <w:pPr>
        <w:pStyle w:val="ListParagraph"/>
        <w:numPr>
          <w:ilvl w:val="1"/>
          <w:numId w:val="1"/>
        </w:numPr>
        <w:shd w:val="clear" w:color="auto" w:fill="FFFFFF"/>
        <w:tabs>
          <w:tab w:val="clear" w:pos="720"/>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20"/>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20"/>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
        </w:numPr>
        <w:shd w:val="clear" w:color="auto" w:fill="FFFFFF"/>
        <w:tabs>
          <w:tab w:val="clear" w:pos="720"/>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
        </w:numPr>
        <w:shd w:val="clear" w:color="auto" w:fill="FFFFFF"/>
        <w:tabs>
          <w:tab w:val="clear" w:pos="720"/>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
        </w:numPr>
        <w:shd w:val="clear" w:color="auto" w:fill="FFFFFF"/>
        <w:tabs>
          <w:tab w:val="clear" w:pos="720"/>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
        </w:numPr>
        <w:shd w:val="clear" w:color="auto" w:fill="FFFFFF"/>
        <w:tabs>
          <w:tab w:val="clear" w:pos="720"/>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20"/>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20"/>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20"/>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20"/>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20"/>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20"/>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20"/>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20"/>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20"/>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
        </w:numPr>
        <w:shd w:val="clear" w:color="auto" w:fill="FFFFFF"/>
        <w:tabs>
          <w:tab w:val="clear" w:pos="720"/>
          <w:tab w:val="left" w:pos="1134" w:leader="none"/>
        </w:tabs>
        <w:ind w:left="0" w:firstLine="709"/>
        <w:jc w:val="both"/>
        <w:rPr>
          <w:bCs/>
        </w:rPr>
      </w:pPr>
      <w:bookmarkStart w:id="29"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9"/>
      <w:r>
        <w:rPr>
          <w:bCs/>
        </w:rPr>
        <w:t xml:space="preserve"> </w:t>
      </w:r>
    </w:p>
    <w:p>
      <w:pPr>
        <w:pStyle w:val="ListParagraph"/>
        <w:numPr>
          <w:ilvl w:val="2"/>
          <w:numId w:val="1"/>
        </w:numPr>
        <w:shd w:val="clear" w:color="auto" w:fill="FFFFFF"/>
        <w:tabs>
          <w:tab w:val="clear" w:pos="720"/>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1"/>
        </w:numPr>
        <w:shd w:val="clear" w:color="auto" w:fill="FFFFFF"/>
        <w:tabs>
          <w:tab w:val="clear" w:pos="720"/>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1"/>
        </w:numPr>
        <w:shd w:val="clear" w:color="auto" w:fill="FFFFFF"/>
        <w:tabs>
          <w:tab w:val="clear" w:pos="720"/>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
        </w:numPr>
        <w:shd w:val="clear" w:color="auto" w:fill="FFFFFF"/>
        <w:tabs>
          <w:tab w:val="clear" w:pos="720"/>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
        </w:numPr>
        <w:shd w:val="clear" w:color="auto" w:fill="FFFFFF"/>
        <w:tabs>
          <w:tab w:val="clear" w:pos="720"/>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
        </w:numPr>
        <w:shd w:val="clear" w:color="auto" w:fill="FFFFFF"/>
        <w:tabs>
          <w:tab w:val="clear" w:pos="720"/>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
        </w:numPr>
        <w:shd w:val="clear" w:color="auto" w:fill="FFFFFF"/>
        <w:tabs>
          <w:tab w:val="clear" w:pos="720"/>
          <w:tab w:val="left" w:pos="1701" w:leader="none"/>
        </w:tabs>
        <w:ind w:left="0" w:firstLine="709"/>
        <w:jc w:val="both"/>
        <w:rPr>
          <w:bCs/>
        </w:rPr>
      </w:pPr>
      <w:bookmarkStart w:id="30" w:name="_Ref361337832"/>
      <w:bookmarkEnd w:id="30"/>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1"/>
        </w:numPr>
        <w:shd w:val="clear" w:color="auto" w:fill="FFFFFF"/>
        <w:tabs>
          <w:tab w:val="clear" w:pos="720"/>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
        </w:numPr>
        <w:shd w:val="clear" w:color="auto" w:fill="FFFFFF"/>
        <w:tabs>
          <w:tab w:val="clear" w:pos="720"/>
          <w:tab w:val="left" w:pos="1134" w:leader="none"/>
        </w:tabs>
        <w:ind w:left="0" w:firstLine="709"/>
        <w:jc w:val="both"/>
        <w:rPr>
          <w:bCs/>
        </w:rPr>
      </w:pPr>
      <w:bookmarkStart w:id="31" w:name="_Ref361337863"/>
      <w:bookmarkEnd w:id="31"/>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1"/>
        </w:numPr>
        <w:shd w:val="clear" w:color="auto" w:fill="FFFFFF"/>
        <w:tabs>
          <w:tab w:val="clear" w:pos="720"/>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1"/>
        </w:numPr>
        <w:shd w:val="clear" w:color="auto" w:fill="FFFFFF"/>
        <w:tabs>
          <w:tab w:val="clear" w:pos="720"/>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20"/>
          <w:tab w:val="left" w:pos="284" w:leader="none"/>
        </w:tabs>
        <w:ind w:left="0" w:hanging="0"/>
        <w:rPr>
          <w:b/>
          <w:b/>
          <w:bCs/>
        </w:rPr>
      </w:pPr>
      <w:r>
        <w:rPr>
          <w:b/>
          <w:bCs/>
        </w:rPr>
      </w:r>
    </w:p>
    <w:p>
      <w:pPr>
        <w:pStyle w:val="ListParagraph"/>
        <w:numPr>
          <w:ilvl w:val="0"/>
          <w:numId w:val="1"/>
        </w:numPr>
        <w:shd w:val="clear" w:color="auto" w:fill="FFFFFF"/>
        <w:tabs>
          <w:tab w:val="clear" w:pos="720"/>
          <w:tab w:val="left" w:pos="426" w:leader="none"/>
        </w:tabs>
        <w:ind w:left="0" w:hanging="0"/>
        <w:jc w:val="center"/>
        <w:rPr>
          <w:b/>
          <w:b/>
          <w:bCs/>
        </w:rPr>
      </w:pPr>
      <w:r>
        <w:rPr>
          <w:b/>
          <w:bCs/>
        </w:rPr>
        <w:t>Антикоррупционная оговорка</w:t>
      </w:r>
    </w:p>
    <w:p>
      <w:pPr>
        <w:pStyle w:val="ListParagraph"/>
        <w:numPr>
          <w:ilvl w:val="1"/>
          <w:numId w:val="1"/>
        </w:numPr>
        <w:shd w:val="clear" w:color="auto" w:fill="FFFFFF"/>
        <w:tabs>
          <w:tab w:val="clear" w:pos="720"/>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
        </w:numPr>
        <w:shd w:val="clear" w:color="auto" w:fill="FFFFFF"/>
        <w:tabs>
          <w:tab w:val="clear" w:pos="720"/>
          <w:tab w:val="left" w:pos="1418" w:leader="none"/>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hd w:fill="FFFFFF" w:val="clear"/>
        </w:rPr>
        <w:t>Применимым правом</w:t>
      </w:r>
      <w:r>
        <w:rPr>
          <w:bCs/>
          <w:color w:val="000000"/>
        </w:rPr>
        <w:t xml:space="preserve">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
        </w:numPr>
        <w:shd w:val="clear" w:color="auto" w:fill="FFFFFF"/>
        <w:tabs>
          <w:tab w:val="clear" w:pos="720"/>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
        </w:numPr>
        <w:shd w:val="clear" w:color="auto" w:fill="FFFFFF"/>
        <w:tabs>
          <w:tab w:val="clear" w:pos="720"/>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
        </w:numPr>
        <w:shd w:val="clear" w:color="auto" w:fill="FFFFFF"/>
        <w:tabs>
          <w:tab w:val="clear" w:pos="720"/>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
        </w:numPr>
        <w:shd w:val="clear" w:color="auto" w:fill="FFFFFF"/>
        <w:tabs>
          <w:tab w:val="clear" w:pos="720"/>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
        </w:numPr>
        <w:shd w:val="clear" w:color="auto" w:fill="FFFFFF"/>
        <w:tabs>
          <w:tab w:val="clear" w:pos="720"/>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1"/>
        </w:numPr>
        <w:shd w:val="clear" w:color="auto" w:fill="FFFFFF"/>
        <w:tabs>
          <w:tab w:val="clear" w:pos="720"/>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1"/>
        </w:numPr>
        <w:shd w:val="clear" w:color="auto" w:fill="FFFFFF"/>
        <w:tabs>
          <w:tab w:val="clear" w:pos="720"/>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1"/>
        </w:numPr>
        <w:tabs>
          <w:tab w:val="clear" w:pos="720"/>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20"/>
          <w:tab w:val="left" w:pos="709" w:leader="none"/>
        </w:tabs>
        <w:spacing w:lineRule="auto" w:line="240"/>
        <w:ind w:hanging="0"/>
        <w:rPr>
          <w:b/>
          <w:b/>
          <w:sz w:val="24"/>
          <w:szCs w:val="24"/>
        </w:rPr>
      </w:pPr>
      <w:r>
        <w:rPr>
          <w:b/>
          <w:sz w:val="24"/>
          <w:szCs w:val="24"/>
        </w:rPr>
      </w:r>
    </w:p>
    <w:p>
      <w:pPr>
        <w:pStyle w:val="ListParagraph"/>
        <w:numPr>
          <w:ilvl w:val="0"/>
          <w:numId w:val="1"/>
        </w:numPr>
        <w:shd w:val="clear" w:color="auto" w:fill="FFFFFF"/>
        <w:tabs>
          <w:tab w:val="clear" w:pos="720"/>
          <w:tab w:val="left" w:pos="426" w:leader="none"/>
        </w:tabs>
        <w:ind w:left="0" w:hanging="0"/>
        <w:jc w:val="center"/>
        <w:rPr>
          <w:b/>
          <w:b/>
          <w:bCs/>
        </w:rPr>
      </w:pPr>
      <w:r>
        <w:rPr>
          <w:b/>
          <w:bCs/>
        </w:rPr>
        <w:t>Обстоятельства непреодолимой силы (форс-мажор)</w:t>
      </w:r>
    </w:p>
    <w:p>
      <w:pPr>
        <w:pStyle w:val="ListParagraph"/>
        <w:numPr>
          <w:ilvl w:val="1"/>
          <w:numId w:val="1"/>
        </w:numPr>
        <w:shd w:val="clear" w:color="auto" w:fill="FFFFFF"/>
        <w:tabs>
          <w:tab w:val="clear" w:pos="720"/>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
        </w:numPr>
        <w:shd w:val="clear" w:color="auto" w:fill="FFFFFF"/>
        <w:tabs>
          <w:tab w:val="clear" w:pos="720"/>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
        </w:numPr>
        <w:shd w:val="clear" w:color="auto" w:fill="FFFFFF"/>
        <w:tabs>
          <w:tab w:val="clear" w:pos="720"/>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
        </w:numPr>
        <w:shd w:val="clear" w:color="auto" w:fill="FFFFFF"/>
        <w:tabs>
          <w:tab w:val="clear" w:pos="720"/>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bCs/>
        </w:rPr>
        <w:t>.</w:t>
      </w:r>
    </w:p>
    <w:p>
      <w:pPr>
        <w:pStyle w:val="ListParagraph"/>
        <w:numPr>
          <w:ilvl w:val="1"/>
          <w:numId w:val="1"/>
        </w:numPr>
        <w:shd w:val="clear" w:color="auto" w:fill="FFFFFF"/>
        <w:tabs>
          <w:tab w:val="clear" w:pos="720"/>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
        </w:numPr>
        <w:shd w:val="clear" w:color="auto" w:fill="FFFFFF"/>
        <w:tabs>
          <w:tab w:val="clear" w:pos="720"/>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20"/>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1"/>
        </w:numPr>
        <w:shd w:val="clear" w:color="auto" w:fill="FFFFFF"/>
        <w:tabs>
          <w:tab w:val="clear" w:pos="720"/>
          <w:tab w:val="left" w:pos="426" w:leader="none"/>
        </w:tabs>
        <w:ind w:left="0" w:hanging="0"/>
        <w:jc w:val="center"/>
        <w:rPr>
          <w:b/>
          <w:b/>
          <w:bCs/>
        </w:rPr>
      </w:pPr>
      <w:r>
        <w:rPr>
          <w:b/>
          <w:bCs/>
        </w:rPr>
        <w:t>Особые положения</w:t>
      </w:r>
    </w:p>
    <w:p>
      <w:pPr>
        <w:pStyle w:val="ListParagraph"/>
        <w:numPr>
          <w:ilvl w:val="1"/>
          <w:numId w:val="1"/>
        </w:numPr>
        <w:shd w:val="clear" w:color="auto" w:fill="FFFFFF"/>
        <w:tabs>
          <w:tab w:val="clear" w:pos="720"/>
          <w:tab w:val="left" w:pos="1134" w:leader="none"/>
        </w:tabs>
        <w:ind w:left="0" w:firstLine="709"/>
        <w:jc w:val="both"/>
        <w:rPr>
          <w:bCs/>
        </w:rPr>
      </w:pPr>
      <w:bookmarkStart w:id="32"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20"/>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20"/>
          <w:tab w:val="left" w:pos="1134" w:leader="none"/>
        </w:tabs>
        <w:ind w:left="0" w:firstLine="709"/>
        <w:jc w:val="both"/>
        <w:rPr/>
      </w:pPr>
      <w:r>
        <w:rPr>
          <w:bCs/>
        </w:rPr>
        <w:t xml:space="preserve">соответствующие </w:t>
      </w:r>
      <w:hyperlink r:id="rId4">
        <w:r>
          <w:rPr>
            <w:bCs/>
          </w:rPr>
          <w:t>Критери</w:t>
        </w:r>
      </w:hyperlink>
      <w:bookmarkEnd w:id="32"/>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
        </w:numPr>
        <w:shd w:val="clear" w:color="auto" w:fill="FFFFFF"/>
        <w:tabs>
          <w:tab w:val="clear" w:pos="720"/>
          <w:tab w:val="left" w:pos="1134" w:leader="none"/>
        </w:tabs>
        <w:ind w:left="0" w:firstLine="709"/>
        <w:jc w:val="both"/>
        <w:rPr>
          <w:bCs/>
        </w:rPr>
      </w:pPr>
      <w:bookmarkStart w:id="33" w:name="_Ref361337921"/>
      <w:bookmarkEnd w:id="33"/>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1"/>
        </w:numPr>
        <w:shd w:val="clear" w:color="auto" w:fill="FFFFFF"/>
        <w:tabs>
          <w:tab w:val="clear" w:pos="720"/>
          <w:tab w:val="left" w:pos="1134" w:leader="none"/>
        </w:tabs>
        <w:ind w:left="0" w:firstLine="709"/>
        <w:jc w:val="both"/>
        <w:rPr>
          <w:bCs/>
        </w:rPr>
      </w:pPr>
      <w:bookmarkStart w:id="34" w:name="_Ref361337948"/>
      <w:bookmarkEnd w:id="34"/>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1"/>
        </w:numPr>
        <w:shd w:val="clear" w:color="auto" w:fill="FFFFFF"/>
        <w:tabs>
          <w:tab w:val="clear" w:pos="720"/>
          <w:tab w:val="left" w:pos="1134" w:leader="none"/>
        </w:tabs>
        <w:ind w:left="0" w:firstLine="709"/>
        <w:jc w:val="both"/>
        <w:rPr>
          <w:bCs/>
        </w:rPr>
      </w:pPr>
      <w:bookmarkStart w:id="35" w:name="_Ref361337980"/>
      <w:bookmarkEnd w:id="35"/>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1"/>
        </w:numPr>
        <w:shd w:val="clear" w:color="auto" w:fill="FFFFFF"/>
        <w:tabs>
          <w:tab w:val="clear" w:pos="720"/>
          <w:tab w:val="left" w:pos="1134" w:leader="none"/>
        </w:tabs>
        <w:ind w:left="0" w:firstLine="709"/>
        <w:jc w:val="both"/>
        <w:rPr>
          <w:bCs/>
        </w:rPr>
      </w:pPr>
      <w:bookmarkStart w:id="36" w:name="_Ref373243071"/>
      <w:bookmarkEnd w:id="36"/>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p>
    <w:p>
      <w:pPr>
        <w:pStyle w:val="ListParagraph"/>
        <w:numPr>
          <w:ilvl w:val="1"/>
          <w:numId w:val="1"/>
        </w:numPr>
        <w:shd w:val="clear" w:color="auto" w:fill="FFFFFF"/>
        <w:tabs>
          <w:tab w:val="clear" w:pos="720"/>
          <w:tab w:val="left" w:pos="1134" w:leader="none"/>
        </w:tabs>
        <w:ind w:left="0" w:firstLine="709"/>
        <w:jc w:val="both"/>
        <w:rPr>
          <w:bCs/>
        </w:rPr>
      </w:pPr>
      <w:bookmarkStart w:id="37" w:name="_Ref361337992"/>
      <w:bookmarkEnd w:id="37"/>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1"/>
        </w:numPr>
        <w:shd w:val="clear" w:color="auto" w:fill="FFFFFF"/>
        <w:tabs>
          <w:tab w:val="clear" w:pos="720"/>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20"/>
          <w:tab w:val="left" w:pos="567" w:leader="none"/>
        </w:tabs>
        <w:ind w:left="0" w:hanging="0"/>
        <w:jc w:val="both"/>
        <w:rPr>
          <w:bCs/>
        </w:rPr>
      </w:pPr>
      <w:r>
        <w:rPr>
          <w:bCs/>
        </w:rPr>
      </w:r>
    </w:p>
    <w:p>
      <w:pPr>
        <w:pStyle w:val="ListParagraph"/>
        <w:numPr>
          <w:ilvl w:val="0"/>
          <w:numId w:val="1"/>
        </w:numPr>
        <w:shd w:val="clear" w:color="auto" w:fill="FFFFFF"/>
        <w:tabs>
          <w:tab w:val="clear" w:pos="720"/>
          <w:tab w:val="left" w:pos="426" w:leader="none"/>
        </w:tabs>
        <w:ind w:left="0" w:hanging="0"/>
        <w:jc w:val="center"/>
        <w:rPr>
          <w:b/>
          <w:b/>
        </w:rPr>
      </w:pPr>
      <w:r>
        <w:rPr>
          <w:b/>
          <w:bCs/>
        </w:rPr>
        <w:t>Заверения</w:t>
      </w:r>
      <w:r>
        <w:rPr>
          <w:b/>
        </w:rPr>
        <w:t xml:space="preserve"> Сторон</w:t>
      </w:r>
    </w:p>
    <w:p>
      <w:pPr>
        <w:pStyle w:val="ListParagraph"/>
        <w:numPr>
          <w:ilvl w:val="1"/>
          <w:numId w:val="1"/>
        </w:numPr>
        <w:shd w:val="clear" w:color="auto" w:fill="FFFFFF"/>
        <w:tabs>
          <w:tab w:val="clear" w:pos="720"/>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20"/>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20"/>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20"/>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20"/>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20"/>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
        </w:numPr>
        <w:shd w:val="clear" w:color="auto" w:fill="FFFFFF"/>
        <w:tabs>
          <w:tab w:val="clear" w:pos="720"/>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20"/>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20"/>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20"/>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20"/>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20"/>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20"/>
          <w:tab w:val="left" w:pos="567" w:leader="none"/>
          <w:tab w:val="left" w:pos="1418" w:leader="none"/>
        </w:tabs>
        <w:ind w:left="0" w:firstLine="709"/>
        <w:jc w:val="both"/>
        <w:rPr/>
      </w:pPr>
      <w:r>
        <w:rPr/>
        <w:t>Подрядчик состоит в СРО, основанной на членстве лиц, выполняющих инженерные изыскания / осуществляющих подготовку проектной документации</w:t>
      </w:r>
      <w:r>
        <w:rPr>
          <w:rStyle w:val="Style12"/>
        </w:rPr>
        <w:footnoteReference w:id="10"/>
      </w:r>
      <w:r>
        <w:rPr/>
        <w:t>;</w:t>
      </w:r>
    </w:p>
    <w:p>
      <w:pPr>
        <w:pStyle w:val="ListParagraph"/>
        <w:numPr>
          <w:ilvl w:val="0"/>
          <w:numId w:val="8"/>
        </w:numPr>
        <w:shd w:val="clear" w:color="auto" w:fill="FFFFFF"/>
        <w:tabs>
          <w:tab w:val="clear" w:pos="720"/>
          <w:tab w:val="left" w:pos="567" w:leader="none"/>
          <w:tab w:val="left" w:pos="1418" w:leader="none"/>
        </w:tabs>
        <w:ind w:left="0" w:firstLine="709"/>
        <w:jc w:val="both"/>
        <w:rPr/>
      </w:pPr>
      <w:r>
        <w:rPr/>
        <w:t>Подрядчик имеет в штате по основному месту работы не менее 2 (двух) специалистов по организации инженерных изысканий /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r>
        <w:rPr>
          <w:rStyle w:val="Style12"/>
        </w:rPr>
        <w:footnoteReference w:id="11"/>
      </w:r>
      <w:r>
        <w:rPr/>
        <w:t>;</w:t>
      </w:r>
    </w:p>
    <w:p>
      <w:pPr>
        <w:pStyle w:val="ListParagraph"/>
        <w:numPr>
          <w:ilvl w:val="0"/>
          <w:numId w:val="8"/>
        </w:numPr>
        <w:shd w:val="clear" w:color="auto" w:fill="FFFFFF"/>
        <w:tabs>
          <w:tab w:val="clear" w:pos="720"/>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20"/>
          <w:tab w:val="left" w:pos="567" w:leader="none"/>
          <w:tab w:val="left" w:pos="1418" w:leader="none"/>
        </w:tabs>
        <w:ind w:left="0" w:firstLine="709"/>
        <w:jc w:val="both"/>
        <w:rPr/>
      </w:pPr>
      <w: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8"/>
        </w:numPr>
        <w:shd w:val="clear" w:color="auto" w:fill="FFFFFF"/>
        <w:tabs>
          <w:tab w:val="clear" w:pos="720"/>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20"/>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20"/>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0"/>
          <w:numId w:val="8"/>
        </w:numPr>
        <w:shd w:val="clear" w:color="auto" w:fill="FFFFFF"/>
        <w:tabs>
          <w:tab w:val="clear" w:pos="720"/>
          <w:tab w:val="left" w:pos="567" w:leader="none"/>
          <w:tab w:val="left" w:pos="1418" w:leader="none"/>
        </w:tabs>
        <w:ind w:left="0" w:firstLine="709"/>
        <w:jc w:val="both"/>
        <w:rPr/>
      </w:pPr>
      <w:r>
        <w:rPr/>
        <w:t>Подрядчик согласен на многократное применение разработанной им Проектной документации и / или Рабочей документации в качестве типовой проектной документации (проектной документации повторного использования) и (или) Результата Инженерных изысканий, полученных для подготовки такой Проектной документации.</w:t>
      </w:r>
    </w:p>
    <w:p>
      <w:pPr>
        <w:pStyle w:val="Normal"/>
        <w:numPr>
          <w:ilvl w:val="1"/>
          <w:numId w:val="1"/>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p>
    <w:p>
      <w:pPr>
        <w:pStyle w:val="ListParagraph"/>
        <w:numPr>
          <w:ilvl w:val="1"/>
          <w:numId w:val="1"/>
        </w:numPr>
        <w:shd w:val="clear" w:color="auto" w:fill="FFFFFF"/>
        <w:tabs>
          <w:tab w:val="clear" w:pos="720"/>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1"/>
        </w:numPr>
        <w:shd w:val="clear" w:color="auto" w:fill="FFFFFF"/>
        <w:tabs>
          <w:tab w:val="clear" w:pos="720"/>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20"/>
          <w:tab w:val="left" w:pos="1134" w:leader="none"/>
          <w:tab w:val="left" w:pos="1418" w:leader="none"/>
        </w:tabs>
        <w:ind w:left="709" w:hanging="0"/>
        <w:jc w:val="both"/>
        <w:rPr>
          <w:b/>
          <w:b/>
        </w:rPr>
      </w:pPr>
      <w:r>
        <w:rPr>
          <w:b/>
        </w:rPr>
      </w:r>
    </w:p>
    <w:p>
      <w:pPr>
        <w:pStyle w:val="ListParagraph"/>
        <w:numPr>
          <w:ilvl w:val="0"/>
          <w:numId w:val="1"/>
        </w:numPr>
        <w:shd w:val="clear" w:color="auto" w:fill="FFFFFF"/>
        <w:tabs>
          <w:tab w:val="clear" w:pos="720"/>
          <w:tab w:val="left" w:pos="426" w:leader="none"/>
        </w:tabs>
        <w:ind w:left="0" w:hanging="0"/>
        <w:jc w:val="center"/>
        <w:rPr>
          <w:b/>
          <w:b/>
        </w:rPr>
      </w:pPr>
      <w:r>
        <w:rPr>
          <w:b/>
          <w:bCs/>
        </w:rPr>
        <w:t>П</w:t>
      </w:r>
      <w:r>
        <w:rPr>
          <w:b/>
        </w:rPr>
        <w:t>рекращение (расторжение) Договора</w:t>
      </w:r>
    </w:p>
    <w:p>
      <w:pPr>
        <w:pStyle w:val="ListParagraph"/>
        <w:numPr>
          <w:ilvl w:val="1"/>
          <w:numId w:val="1"/>
        </w:numPr>
        <w:shd w:val="clear" w:color="auto" w:fill="FFFFFF"/>
        <w:tabs>
          <w:tab w:val="clear" w:pos="720"/>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
        </w:numPr>
        <w:shd w:val="clear" w:color="auto" w:fill="FFFFFF"/>
        <w:tabs>
          <w:tab w:val="clear" w:pos="720"/>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20"/>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
        </w:numPr>
        <w:shd w:val="clear" w:color="auto" w:fill="FFFFFF"/>
        <w:tabs>
          <w:tab w:val="clear" w:pos="720"/>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20"/>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
        </w:numPr>
        <w:shd w:val="clear" w:color="auto" w:fill="FFFFFF"/>
        <w:tabs>
          <w:tab w:val="clear" w:pos="720"/>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clear" w:pos="720"/>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30 (тридцать) календарных дней по причинам, не зависящим от Заказчика;</w:t>
      </w:r>
    </w:p>
    <w:p>
      <w:pPr>
        <w:pStyle w:val="ListParagraph"/>
        <w:numPr>
          <w:ilvl w:val="0"/>
          <w:numId w:val="6"/>
        </w:numPr>
        <w:tabs>
          <w:tab w:val="clear" w:pos="720"/>
          <w:tab w:val="left" w:pos="1134" w:leader="none"/>
        </w:tabs>
        <w:ind w:left="0" w:right="23" w:firstLine="709"/>
        <w:jc w:val="both"/>
        <w:rPr/>
      </w:pPr>
      <w:r>
        <w:rPr/>
        <w:t>несоблюдение Подрядчиком требований к качеству Работ</w:t>
      </w:r>
      <w:r>
        <w:rPr>
          <w:bCs/>
        </w:rPr>
        <w:t>,</w:t>
      </w:r>
      <w:r>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20"/>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20"/>
          <w:tab w:val="left" w:pos="1134" w:leader="none"/>
        </w:tabs>
        <w:ind w:left="0" w:right="23" w:firstLine="709"/>
        <w:jc w:val="both"/>
        <w:rPr/>
      </w:pPr>
      <w:r>
        <w:rPr/>
        <w:t>прекращение членства в СРО, основанной на членстве лиц, выполняющих инженерные изыскания / осуществляющих подготовку проектной документации, предоставляющих Подрядчику право на производство Работ по Договору</w:t>
      </w:r>
      <w:r>
        <w:rPr>
          <w:rStyle w:val="FootnoteCharacters"/>
        </w:rPr>
        <w:t xml:space="preserve"> </w:t>
      </w:r>
      <w:r>
        <w:rPr>
          <w:rStyle w:val="Style12"/>
        </w:rPr>
        <w:footnoteReference w:id="12"/>
      </w:r>
      <w:r>
        <w:rPr>
          <w:rStyle w:val="FootnoteCharacters"/>
          <w:position w:val="0"/>
          <w:sz w:val="24"/>
          <w:vertAlign w:val="baseline"/>
        </w:rPr>
        <w:t>;</w:t>
      </w:r>
    </w:p>
    <w:p>
      <w:pPr>
        <w:pStyle w:val="ListParagraph"/>
        <w:numPr>
          <w:ilvl w:val="0"/>
          <w:numId w:val="6"/>
        </w:numPr>
        <w:tabs>
          <w:tab w:val="clear" w:pos="720"/>
          <w:tab w:val="left" w:pos="1134" w:leader="none"/>
        </w:tabs>
        <w:ind w:left="0" w:right="23" w:firstLine="709"/>
        <w:jc w:val="both"/>
        <w:rPr/>
      </w:pPr>
      <w:r>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clear" w:pos="720"/>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20"/>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20"/>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20"/>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Style28"/>
        <w:numPr>
          <w:ilvl w:val="0"/>
          <w:numId w:val="6"/>
        </w:numPr>
        <w:spacing w:lineRule="auto" w:line="240" w:before="0" w:after="0"/>
        <w:ind w:left="113" w:right="113" w:firstLine="510"/>
        <w:rPr/>
      </w:pPr>
      <w:r>
        <w:rPr>
          <w:color w:val="000000"/>
          <w:sz w:val="24"/>
          <w:szCs w:val="24"/>
        </w:rPr>
        <w:t xml:space="preserve">не предоставление Подрядчиком Заказчику информации о </w:t>
      </w:r>
      <w:r>
        <w:rPr>
          <w:bCs/>
          <w:color w:val="000000"/>
          <w:sz w:val="24"/>
          <w:szCs w:val="24"/>
        </w:rPr>
        <w:t xml:space="preserve">наличии </w:t>
      </w:r>
      <w:r>
        <w:rPr>
          <w:color w:val="000000"/>
          <w:sz w:val="24"/>
          <w:szCs w:val="24"/>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п.2.3.31 Договора</w:t>
      </w:r>
      <w:r>
        <w:rPr>
          <w:bCs/>
          <w:sz w:val="24"/>
          <w:szCs w:val="24"/>
        </w:rPr>
        <w:t>.</w:t>
      </w:r>
    </w:p>
    <w:p>
      <w:pPr>
        <w:pStyle w:val="ListParagraph"/>
        <w:numPr>
          <w:ilvl w:val="1"/>
          <w:numId w:val="1"/>
        </w:numPr>
        <w:shd w:val="clear" w:color="auto" w:fill="FFFFFF"/>
        <w:tabs>
          <w:tab w:val="clear" w:pos="720"/>
          <w:tab w:val="left" w:pos="1134" w:leader="none"/>
        </w:tabs>
        <w:ind w:left="0" w:firstLine="709"/>
        <w:jc w:val="both"/>
        <w:rPr/>
      </w:pPr>
      <w: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
        </w:numPr>
        <w:shd w:val="clear" w:color="auto" w:fill="FFFFFF"/>
        <w:tabs>
          <w:tab w:val="clear" w:pos="720"/>
          <w:tab w:val="left" w:pos="1134" w:leader="none"/>
        </w:tabs>
        <w:ind w:left="0" w:firstLine="709"/>
        <w:jc w:val="both"/>
        <w:rPr/>
      </w:pPr>
      <w:r>
        <w:rPr/>
        <w:t>С даты прекращения (расторжения) Договора Подрядчик обязан прекратить производство Работ, и в согласованные Сторонами сроки:</w:t>
      </w:r>
    </w:p>
    <w:p>
      <w:pPr>
        <w:pStyle w:val="ListParagraph"/>
        <w:numPr>
          <w:ilvl w:val="0"/>
          <w:numId w:val="17"/>
        </w:numPr>
        <w:shd w:val="clear" w:color="auto" w:fill="FFFFFF"/>
        <w:tabs>
          <w:tab w:val="clear" w:pos="720"/>
          <w:tab w:val="left" w:pos="1418" w:leader="none"/>
        </w:tabs>
        <w:ind w:left="0" w:firstLine="709"/>
        <w:jc w:val="both"/>
        <w:rPr/>
      </w:pPr>
      <w:r>
        <w:rPr/>
        <w:t>передать Заказчику результаты выполненных Работ, техническую и иную полученную документацию</w:t>
      </w:r>
      <w:r>
        <w:rPr>
          <w:bCs/>
        </w:rPr>
        <w:t>;</w:t>
      </w:r>
    </w:p>
    <w:p>
      <w:pPr>
        <w:pStyle w:val="ListParagraph"/>
        <w:numPr>
          <w:ilvl w:val="0"/>
          <w:numId w:val="17"/>
        </w:numPr>
        <w:shd w:val="clear" w:color="auto" w:fill="FFFFFF"/>
        <w:tabs>
          <w:tab w:val="clear" w:pos="720"/>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7"/>
        </w:numPr>
        <w:shd w:val="clear" w:color="auto" w:fill="FFFFFF"/>
        <w:tabs>
          <w:tab w:val="clear" w:pos="720"/>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место производства Работ чистым и безопасным.</w:t>
      </w:r>
    </w:p>
    <w:p>
      <w:pPr>
        <w:pStyle w:val="ListParagraph"/>
        <w:numPr>
          <w:ilvl w:val="1"/>
          <w:numId w:val="1"/>
        </w:numPr>
        <w:shd w:val="clear" w:color="auto" w:fill="FFFFFF"/>
        <w:tabs>
          <w:tab w:val="clear" w:pos="720"/>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20"/>
          <w:tab w:val="left" w:pos="1134" w:leader="none"/>
        </w:tabs>
        <w:ind w:left="709" w:hanging="0"/>
        <w:jc w:val="both"/>
        <w:rPr/>
      </w:pPr>
      <w:r>
        <w:rPr/>
      </w:r>
    </w:p>
    <w:p>
      <w:pPr>
        <w:pStyle w:val="ListParagraph"/>
        <w:numPr>
          <w:ilvl w:val="0"/>
          <w:numId w:val="1"/>
        </w:numPr>
        <w:shd w:val="clear" w:color="auto" w:fill="FFFFFF"/>
        <w:tabs>
          <w:tab w:val="clear" w:pos="720"/>
          <w:tab w:val="left" w:pos="426" w:leader="none"/>
        </w:tabs>
        <w:ind w:left="0" w:hanging="0"/>
        <w:jc w:val="center"/>
        <w:rPr>
          <w:bCs/>
        </w:rPr>
      </w:pPr>
      <w:r>
        <w:rPr>
          <w:b/>
          <w:bCs/>
        </w:rPr>
        <w:t>Разрешение споров</w:t>
      </w:r>
    </w:p>
    <w:p>
      <w:pPr>
        <w:pStyle w:val="ListParagraph"/>
        <w:numPr>
          <w:ilvl w:val="1"/>
          <w:numId w:val="1"/>
        </w:numPr>
        <w:shd w:val="clear" w:color="auto" w:fill="FFFFFF"/>
        <w:tabs>
          <w:tab w:val="clear" w:pos="720"/>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
        </w:numPr>
        <w:shd w:val="clear" w:color="auto" w:fill="FFFFFF"/>
        <w:tabs>
          <w:tab w:val="clear" w:pos="720"/>
          <w:tab w:val="left" w:pos="1134" w:leader="none"/>
          <w:tab w:val="left" w:pos="1418" w:leader="none"/>
        </w:tabs>
        <w:ind w:left="0" w:firstLine="709"/>
        <w:jc w:val="both"/>
        <w:rPr>
          <w:bCs/>
        </w:rPr>
      </w:pPr>
      <w:r>
        <w:rPr>
          <w:bCs/>
        </w:rPr>
        <w:t>Споры, указанные в пункте 15.1 Договора, которые не были урегулированы Сторонами путем переговоров, подлежат разрешению в Арбитражном суде Приморского каря в соответствии с законодательством Российской Федерации, за исключением споров из Банковской гарантии, подсудность которых предусмотрена пунктом 6.1.9 Договора.</w:t>
      </w:r>
    </w:p>
    <w:p>
      <w:pPr>
        <w:pStyle w:val="ListParagraph"/>
        <w:numPr>
          <w:ilvl w:val="1"/>
          <w:numId w:val="1"/>
        </w:numPr>
        <w:shd w:val="clear" w:color="auto" w:fill="FFFFFF"/>
        <w:tabs>
          <w:tab w:val="clear" w:pos="720"/>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16.8 Договора.</w:t>
      </w:r>
    </w:p>
    <w:p>
      <w:pPr>
        <w:pStyle w:val="ListParagraph"/>
        <w:numPr>
          <w:ilvl w:val="1"/>
          <w:numId w:val="1"/>
        </w:numPr>
        <w:shd w:val="clear" w:color="auto" w:fill="FFFFFF"/>
        <w:tabs>
          <w:tab w:val="clear" w:pos="720"/>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
        </w:numPr>
        <w:shd w:val="clear" w:color="auto" w:fill="FFFFFF"/>
        <w:tabs>
          <w:tab w:val="clear" w:pos="720"/>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20"/>
          <w:tab w:val="left" w:pos="1418" w:leader="none"/>
        </w:tabs>
        <w:ind w:left="0" w:firstLine="567"/>
        <w:jc w:val="both"/>
        <w:rPr>
          <w:b/>
          <w:b/>
          <w:bCs/>
        </w:rPr>
      </w:pPr>
      <w:r>
        <w:rPr>
          <w:b/>
          <w:bCs/>
        </w:rPr>
      </w:r>
    </w:p>
    <w:p>
      <w:pPr>
        <w:pStyle w:val="ListParagraph"/>
        <w:numPr>
          <w:ilvl w:val="0"/>
          <w:numId w:val="1"/>
        </w:numPr>
        <w:shd w:val="clear" w:color="auto" w:fill="FFFFFF"/>
        <w:tabs>
          <w:tab w:val="clear" w:pos="720"/>
          <w:tab w:val="left" w:pos="426" w:leader="none"/>
        </w:tabs>
        <w:ind w:left="0" w:hanging="0"/>
        <w:jc w:val="center"/>
        <w:rPr>
          <w:b/>
          <w:b/>
          <w:bCs/>
        </w:rPr>
      </w:pPr>
      <w:r>
        <w:rPr>
          <w:b/>
          <w:bCs/>
        </w:rPr>
        <w:t>Заключительные положения</w:t>
      </w:r>
    </w:p>
    <w:p>
      <w:pPr>
        <w:pStyle w:val="ListParagraph"/>
        <w:numPr>
          <w:ilvl w:val="1"/>
          <w:numId w:val="1"/>
        </w:numPr>
        <w:shd w:val="clear" w:color="auto" w:fill="FFFFFF"/>
        <w:tabs>
          <w:tab w:val="clear" w:pos="720"/>
          <w:tab w:val="left" w:pos="1134"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1"/>
        </w:numPr>
        <w:shd w:val="clear" w:color="auto" w:fill="FFFFFF"/>
        <w:tabs>
          <w:tab w:val="clear" w:pos="720"/>
          <w:tab w:val="left" w:pos="1134" w:leader="none"/>
        </w:tabs>
        <w:ind w:left="0" w:firstLine="709"/>
        <w:jc w:val="both"/>
        <w:rPr/>
      </w:pPr>
      <w:r>
        <w:rPr>
          <w:highlight w:val="lightGray"/>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color="auto" w:fill="FFFFFF"/>
        <w:tabs>
          <w:tab w:val="clear" w:pos="720"/>
          <w:tab w:val="left" w:pos="1134" w:leader="none"/>
        </w:tabs>
        <w:ind w:left="0" w:firstLine="709"/>
        <w:jc w:val="both"/>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Style12"/>
          <w:highlight w:val="lightGray"/>
        </w:rPr>
        <w:footnoteReference w:id="13"/>
      </w:r>
    </w:p>
    <w:p>
      <w:pPr>
        <w:pStyle w:val="ListParagraph"/>
        <w:numPr>
          <w:ilvl w:val="1"/>
          <w:numId w:val="1"/>
        </w:numPr>
        <w:shd w:val="clear" w:color="auto" w:fill="FFFFFF"/>
        <w:tabs>
          <w:tab w:val="clear" w:pos="720"/>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16.7 Договора. </w:t>
      </w:r>
    </w:p>
    <w:p>
      <w:pPr>
        <w:pStyle w:val="ListParagraph"/>
        <w:numPr>
          <w:ilvl w:val="1"/>
          <w:numId w:val="1"/>
        </w:numPr>
        <w:shd w:val="clear" w:color="auto" w:fill="FFFFFF"/>
        <w:tabs>
          <w:tab w:val="clear" w:pos="720"/>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
        </w:numPr>
        <w:shd w:val="clear" w:color="auto" w:fill="FFFFFF"/>
        <w:tabs>
          <w:tab w:val="clear" w:pos="720"/>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
        </w:numPr>
        <w:shd w:val="clear" w:color="auto" w:fill="FFFFFF"/>
        <w:tabs>
          <w:tab w:val="clear" w:pos="720"/>
          <w:tab w:val="left" w:pos="1134"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16.8 Договора. Использование с</w:t>
      </w:r>
      <w:r>
        <w:rPr>
          <w:shd w:fill="FFFFFF" w:val="clear"/>
        </w:rPr>
        <w:t>редств электронной</w:t>
      </w:r>
      <w:r>
        <w:rPr/>
        <w:t xml:space="preserve">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
        </w:numPr>
        <w:shd w:val="clear" w:color="auto" w:fill="FFFFFF"/>
        <w:tabs>
          <w:tab w:val="clear" w:pos="720"/>
          <w:tab w:val="left" w:pos="1134" w:leader="none"/>
        </w:tabs>
        <w:ind w:left="0" w:firstLine="709"/>
        <w:jc w:val="both"/>
        <w:rPr/>
      </w:pPr>
      <w:bookmarkStart w:id="38" w:name="_Ref361338004"/>
      <w: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16.8 Договора.</w:t>
      </w:r>
      <w:bookmarkEnd w:id="38"/>
      <w:r>
        <w:rPr/>
        <w:t xml:space="preserve"> </w:t>
      </w:r>
    </w:p>
    <w:p>
      <w:pPr>
        <w:pStyle w:val="ListParagraph"/>
        <w:numPr>
          <w:ilvl w:val="1"/>
          <w:numId w:val="1"/>
        </w:numPr>
        <w:shd w:val="clear" w:color="auto" w:fill="FFFFFF"/>
        <w:tabs>
          <w:tab w:val="clear" w:pos="720"/>
          <w:tab w:val="left" w:pos="1134" w:leader="none"/>
        </w:tabs>
        <w:ind w:left="0" w:firstLine="709"/>
        <w:jc w:val="both"/>
        <w:rPr>
          <w:bCs/>
        </w:rPr>
      </w:pPr>
      <w:bookmarkStart w:id="39" w:name="_Ref361338019"/>
      <w: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9"/>
      <w:r>
        <w:rPr>
          <w:bCs/>
        </w:rPr>
        <w:t xml:space="preserve"> будет считаться полученным:</w:t>
      </w:r>
    </w:p>
    <w:p>
      <w:pPr>
        <w:pStyle w:val="ListParagraph"/>
        <w:numPr>
          <w:ilvl w:val="2"/>
          <w:numId w:val="1"/>
        </w:numPr>
        <w:shd w:val="clear" w:color="auto" w:fill="FFFFFF"/>
        <w:tabs>
          <w:tab w:val="clear" w:pos="720"/>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1"/>
        </w:numPr>
        <w:shd w:val="clear" w:color="auto" w:fill="FFFFFF"/>
        <w:tabs>
          <w:tab w:val="clear" w:pos="720"/>
          <w:tab w:val="left" w:pos="1701" w:leader="none"/>
        </w:tabs>
        <w:ind w:left="0" w:firstLine="709"/>
        <w:jc w:val="both"/>
        <w:rPr>
          <w:bCs/>
        </w:rPr>
      </w:pPr>
      <w:bookmarkStart w:id="40" w:name="_Ref361338032"/>
      <w:bookmarkEnd w:id="40"/>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
        </w:numPr>
        <w:shd w:val="clear" w:color="auto" w:fill="FFFFFF"/>
        <w:tabs>
          <w:tab w:val="clear" w:pos="720"/>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20"/>
          <w:tab w:val="left" w:pos="1701" w:leader="none"/>
        </w:tabs>
        <w:ind w:left="0" w:firstLine="709"/>
        <w:jc w:val="both"/>
        <w:rPr>
          <w:bCs/>
        </w:rPr>
      </w:pPr>
      <w:r>
        <w:rPr>
          <w:bCs/>
        </w:rPr>
        <w:t xml:space="preserve">Оригиналы документов, </w:t>
      </w:r>
      <w:r>
        <w:rPr>
          <w:bCs/>
          <w:shd w:fill="FFFFFF" w:val="clear"/>
        </w:rPr>
        <w:t xml:space="preserve">направленные посредством электронной почты, </w:t>
      </w:r>
      <w:r>
        <w:rPr>
          <w:bCs/>
        </w:rPr>
        <w:t xml:space="preserve">должны не позднее следующего рабочего дня быть направлены Стороной-отправителем способами, указанными в пунктах 16.8.1,16.8.2 Договора. </w:t>
      </w:r>
    </w:p>
    <w:p>
      <w:pPr>
        <w:pStyle w:val="ListParagraph"/>
        <w:shd w:val="clear" w:color="auto" w:fill="FFFFFF"/>
        <w:tabs>
          <w:tab w:val="clear" w:pos="720"/>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1"/>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
        </w:numPr>
        <w:shd w:val="clear" w:color="auto" w:fill="FFFFFF"/>
        <w:tabs>
          <w:tab w:val="clear" w:pos="720"/>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1"/>
        </w:numPr>
        <w:shd w:val="clear" w:color="auto" w:fill="FFFFFF"/>
        <w:tabs>
          <w:tab w:val="clear" w:pos="720"/>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
        </w:numPr>
        <w:shd w:val="clear" w:color="auto" w:fill="FFFFFF"/>
        <w:tabs>
          <w:tab w:val="clear" w:pos="720"/>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1"/>
        </w:numPr>
        <w:shd w:val="clear" w:color="auto" w:fill="FFFFFF"/>
        <w:tabs>
          <w:tab w:val="clear" w:pos="720"/>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pPr>
      <w:r>
        <w:rPr/>
        <w:t xml:space="preserve">Со </w:t>
      </w:r>
      <w:r>
        <w:rPr>
          <w:bCs/>
        </w:rPr>
        <w:t>стороны Заказчика контроль и исполнение обязательств по настоящему договору осуществляет филиал АО «ДРСК» «Приморские электрические сети» расположенный по адресу: 690080 Приморский край, г. Владивосток, ул. Командорская, 13а.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r>
        <w:rPr/>
        <w:t xml:space="preserve">. </w:t>
      </w:r>
    </w:p>
    <w:p>
      <w:pPr>
        <w:pStyle w:val="Normal"/>
        <w:widowControl w:val="false"/>
        <w:tabs>
          <w:tab w:val="clear" w:pos="720"/>
          <w:tab w:val="left" w:pos="993" w:leader="none"/>
        </w:tabs>
        <w:spacing w:lineRule="auto" w:line="240"/>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clear" w:pos="720"/>
          <w:tab w:val="left" w:pos="1134" w:leader="none"/>
        </w:tabs>
        <w:spacing w:lineRule="auto" w:line="240"/>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ind w:left="0" w:firstLine="567"/>
        <w:rPr>
          <w:bCs/>
        </w:rPr>
      </w:pPr>
      <w:r>
        <w:rPr>
          <w:bCs/>
        </w:rPr>
      </w:r>
    </w:p>
    <w:p>
      <w:pPr>
        <w:pStyle w:val="ListParagraph"/>
        <w:numPr>
          <w:ilvl w:val="0"/>
          <w:numId w:val="1"/>
        </w:numPr>
        <w:shd w:val="clear" w:color="auto" w:fill="FFFFFF"/>
        <w:tabs>
          <w:tab w:val="clear" w:pos="720"/>
          <w:tab w:val="left" w:pos="426" w:leader="none"/>
        </w:tabs>
        <w:ind w:left="0" w:hanging="0"/>
        <w:jc w:val="center"/>
        <w:rPr>
          <w:b/>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Календарный график выполнения Работ;</w:t>
      </w:r>
    </w:p>
    <w:p>
      <w:pPr>
        <w:pStyle w:val="ListParagraph"/>
        <w:shd w:val="clear" w:color="auto" w:fill="FFFFFF"/>
        <w:ind w:left="0" w:hanging="0"/>
        <w:jc w:val="both"/>
        <w:rPr>
          <w:bCs/>
        </w:rPr>
      </w:pPr>
      <w:r>
        <w:rPr>
          <w:bCs/>
        </w:rPr>
        <w:t>Приложение № 3 – Сводная смета с приложениями;</w:t>
      </w:r>
    </w:p>
    <w:p>
      <w:pPr>
        <w:pStyle w:val="ListParagraph"/>
        <w:shd w:val="clear" w:color="auto" w:fill="FFFFFF"/>
        <w:ind w:left="0" w:hanging="0"/>
        <w:jc w:val="both"/>
        <w:rPr>
          <w:bCs/>
        </w:rPr>
      </w:pPr>
      <w:r>
        <w:rPr>
          <w:bCs/>
        </w:rPr>
        <w:t xml:space="preserve">Приложение № 4.1 – </w:t>
      </w:r>
      <w:r>
        <w:rPr>
          <w:bCs/>
          <w:iCs/>
        </w:rPr>
        <w:t xml:space="preserve">Форма Акта </w:t>
      </w:r>
      <w:r>
        <w:rPr>
          <w:bCs/>
        </w:rPr>
        <w:t>сдачи-приемки места производства Работ, места (помещения) для складирования Материально-технических ресурсов и оборудования.</w:t>
      </w:r>
    </w:p>
    <w:p>
      <w:pPr>
        <w:pStyle w:val="ListParagraph"/>
        <w:shd w:val="clear" w:color="auto" w:fill="FFFFFF"/>
        <w:ind w:left="0" w:hanging="0"/>
        <w:jc w:val="both"/>
        <w:rPr>
          <w:bCs/>
        </w:rPr>
      </w:pPr>
      <w:r>
        <w:rPr>
          <w:bCs/>
        </w:rPr>
        <w:t>Приложение № 4.2 – Форма Акта сдачи-приемки технической и иной документации;</w:t>
      </w:r>
    </w:p>
    <w:p>
      <w:pPr>
        <w:pStyle w:val="ListParagraph"/>
        <w:shd w:val="clear" w:color="auto" w:fill="FFFFFF"/>
        <w:ind w:left="0" w:hanging="0"/>
        <w:jc w:val="both"/>
        <w:rPr>
          <w:bCs/>
        </w:rPr>
      </w:pPr>
      <w:r>
        <w:rPr>
          <w:bCs/>
        </w:rPr>
        <w:t xml:space="preserve">Приложение № 5 – Перечень допусков, разрешений и лицензий Подрядчика; </w:t>
      </w:r>
    </w:p>
    <w:p>
      <w:pPr>
        <w:pStyle w:val="ListParagraph"/>
        <w:shd w:val="clear" w:color="auto" w:fill="FFFFFF"/>
        <w:ind w:left="0" w:hanging="0"/>
        <w:jc w:val="both"/>
        <w:rPr>
          <w:bCs/>
        </w:rPr>
      </w:pPr>
      <w:r>
        <w:rPr>
          <w:bCs/>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7 – Форма Акта сдачи-приемки выполненных работ;</w:t>
      </w:r>
    </w:p>
    <w:p>
      <w:pPr>
        <w:pStyle w:val="ListParagraph"/>
        <w:shd w:val="clear" w:color="auto" w:fill="FFFFFF"/>
        <w:ind w:left="0" w:hanging="0"/>
        <w:jc w:val="both"/>
        <w:rPr>
          <w:bCs/>
        </w:rPr>
      </w:pPr>
      <w:r>
        <w:rPr>
          <w:bCs/>
        </w:rPr>
        <w:t>Приложение № 8 –8 Критерии отбора Банков-Гарантов.</w:t>
      </w:r>
    </w:p>
    <w:p>
      <w:pPr>
        <w:pStyle w:val="ListParagraph"/>
        <w:shd w:val="clear" w:color="auto" w:fill="FFFFFF"/>
        <w:ind w:left="0" w:hanging="0"/>
        <w:jc w:val="both"/>
        <w:rPr>
          <w:bCs/>
        </w:rPr>
      </w:pPr>
      <w:r>
        <w:rPr>
          <w:bCs/>
        </w:rPr>
      </w:r>
    </w:p>
    <w:p>
      <w:pPr>
        <w:pStyle w:val="ListParagraph"/>
        <w:numPr>
          <w:ilvl w:val="0"/>
          <w:numId w:val="1"/>
        </w:numPr>
        <w:shd w:val="clear" w:color="auto" w:fill="FFFFFF"/>
        <w:tabs>
          <w:tab w:val="clear" w:pos="720"/>
          <w:tab w:val="left" w:pos="426" w:leader="none"/>
        </w:tabs>
        <w:ind w:left="0" w:hanging="0"/>
        <w:jc w:val="center"/>
        <w:rPr>
          <w:b/>
          <w:b/>
          <w:bCs/>
        </w:rPr>
      </w:pPr>
      <w:r>
        <w:rPr>
          <w:b/>
          <w:bCs/>
        </w:rPr>
        <w:t>Адреса и платежные реквизиты Сторон</w:t>
      </w:r>
    </w:p>
    <w:tbl>
      <w:tblPr>
        <w:tblW w:w="9747"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235"/>
        <w:gridCol w:w="4539"/>
        <w:gridCol w:w="34"/>
        <w:gridCol w:w="102"/>
        <w:gridCol w:w="4365"/>
        <w:gridCol w:w="236"/>
        <w:gridCol w:w="235"/>
      </w:tblGrid>
      <w:tr>
        <w:trPr/>
        <w:tc>
          <w:tcPr>
            <w:tcW w:w="235" w:type="dxa"/>
            <w:tcBorders/>
            <w:shd w:color="auto" w:fill="auto" w:val="clear"/>
          </w:tcPr>
          <w:p>
            <w:pPr>
              <w:pStyle w:val="Normal"/>
              <w:widowControl w:val="false"/>
              <w:spacing w:lineRule="auto" w:line="240"/>
              <w:ind w:hanging="0"/>
              <w:rPr>
                <w:sz w:val="24"/>
                <w:szCs w:val="24"/>
              </w:rPr>
            </w:pPr>
            <w:r>
              <w:rPr>
                <w:sz w:val="24"/>
                <w:szCs w:val="24"/>
              </w:rPr>
            </w:r>
          </w:p>
        </w:tc>
        <w:tc>
          <w:tcPr>
            <w:tcW w:w="4675" w:type="dxa"/>
            <w:gridSpan w:val="3"/>
            <w:tcBorders/>
            <w:shd w:color="auto" w:fill="auto" w:val="clear"/>
          </w:tcPr>
          <w:p>
            <w:pPr>
              <w:pStyle w:val="Normal"/>
              <w:widowControl w:val="false"/>
              <w:spacing w:lineRule="auto" w:line="240"/>
              <w:ind w:hanging="0"/>
              <w:rPr>
                <w:sz w:val="24"/>
                <w:szCs w:val="24"/>
              </w:rPr>
            </w:pPr>
            <w:r>
              <w:rPr>
                <w:sz w:val="24"/>
                <w:szCs w:val="24"/>
              </w:rPr>
              <w:t>ЗАКАЗЧИК:</w:t>
            </w:r>
          </w:p>
        </w:tc>
        <w:tc>
          <w:tcPr>
            <w:tcW w:w="4836" w:type="dxa"/>
            <w:gridSpan w:val="3"/>
            <w:tcBorders/>
            <w:shd w:color="auto" w:fill="auto" w:val="clear"/>
          </w:tcPr>
          <w:p>
            <w:pPr>
              <w:pStyle w:val="Normal"/>
              <w:widowControl w:val="false"/>
              <w:spacing w:lineRule="auto" w:line="240"/>
              <w:ind w:hanging="0"/>
              <w:rPr>
                <w:sz w:val="24"/>
                <w:szCs w:val="24"/>
              </w:rPr>
            </w:pPr>
            <w:r>
              <w:rPr>
                <w:sz w:val="24"/>
                <w:szCs w:val="24"/>
              </w:rPr>
              <w:t>ПОДРЯДЧИК:</w:t>
            </w:r>
          </w:p>
        </w:tc>
      </w:tr>
      <w:tr>
        <w:trPr/>
        <w:tc>
          <w:tcPr>
            <w:tcW w:w="4808" w:type="dxa"/>
            <w:gridSpan w:val="3"/>
            <w:tcBorders/>
            <w:shd w:color="auto" w:fill="auto" w:val="clear"/>
          </w:tcPr>
          <w:p>
            <w:pPr>
              <w:pStyle w:val="Normal"/>
              <w:widowControl w:val="false"/>
              <w:spacing w:lineRule="auto" w:line="240"/>
              <w:ind w:hanging="0"/>
              <w:jc w:val="left"/>
              <w:rPr>
                <w:b/>
                <w:b/>
                <w:sz w:val="24"/>
                <w:szCs w:val="24"/>
              </w:rPr>
            </w:pPr>
            <w:r>
              <w:rPr>
                <w:b/>
                <w:sz w:val="24"/>
                <w:szCs w:val="24"/>
              </w:rPr>
              <w:t>Акционерное общество</w:t>
            </w:r>
          </w:p>
          <w:p>
            <w:pPr>
              <w:pStyle w:val="Normal"/>
              <w:widowControl w:val="false"/>
              <w:spacing w:lineRule="auto" w:line="240"/>
              <w:ind w:hanging="0"/>
              <w:jc w:val="left"/>
              <w:rPr>
                <w:b/>
                <w:b/>
                <w:sz w:val="24"/>
                <w:szCs w:val="24"/>
              </w:rPr>
            </w:pPr>
            <w:r>
              <w:rPr>
                <w:b/>
                <w:sz w:val="24"/>
                <w:szCs w:val="24"/>
              </w:rPr>
              <w:t>«Дальневосточная распределительная сетевая компания» (АО «ДРСК»)</w:t>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 xml:space="preserve"> </w:t>
            </w: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467" w:type="dxa"/>
            <w:gridSpan w:val="2"/>
            <w:tcBorders/>
            <w:shd w:color="auto" w:fill="auto" w:val="clear"/>
          </w:tcPr>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c>
          <w:tcPr>
            <w:tcW w:w="236" w:type="dxa"/>
            <w:tcBorders/>
            <w:shd w:color="auto" w:fill="auto" w:val="clear"/>
          </w:tcPr>
          <w:p>
            <w:pPr>
              <w:pStyle w:val="Normal"/>
              <w:widowControl w:val="false"/>
              <w:rPr/>
            </w:pPr>
            <w:r>
              <w:rPr/>
            </w:r>
          </w:p>
        </w:tc>
        <w:tc>
          <w:tcPr>
            <w:tcW w:w="235" w:type="dxa"/>
            <w:tcBorders/>
            <w:shd w:color="auto" w:fill="auto" w:val="clear"/>
          </w:tcPr>
          <w:p>
            <w:pPr>
              <w:pStyle w:val="Normal"/>
              <w:widowControl w:val="false"/>
              <w:rPr/>
            </w:pPr>
            <w:r>
              <w:rPr/>
            </w:r>
          </w:p>
        </w:tc>
      </w:tr>
      <w:tr>
        <w:trPr/>
        <w:tc>
          <w:tcPr>
            <w:tcW w:w="235" w:type="dxa"/>
            <w:tcBorders/>
            <w:shd w:color="auto" w:fill="auto" w:val="clear"/>
          </w:tcPr>
          <w:p>
            <w:pPr>
              <w:pStyle w:val="Normal"/>
              <w:widowControl w:val="false"/>
              <w:spacing w:lineRule="auto" w:line="240"/>
              <w:ind w:hanging="0"/>
              <w:jc w:val="left"/>
              <w:rPr>
                <w:sz w:val="24"/>
                <w:szCs w:val="24"/>
              </w:rPr>
            </w:pPr>
            <w:r>
              <w:rPr>
                <w:sz w:val="24"/>
                <w:szCs w:val="24"/>
              </w:rPr>
            </w:r>
          </w:p>
        </w:tc>
        <w:tc>
          <w:tcPr>
            <w:tcW w:w="4675" w:type="dxa"/>
            <w:gridSpan w:val="3"/>
            <w:tcBorders/>
            <w:shd w:color="auto" w:fill="auto" w:val="clear"/>
          </w:tcPr>
          <w:p>
            <w:pPr>
              <w:pStyle w:val="Normal"/>
              <w:widowControl w:val="false"/>
              <w:spacing w:lineRule="auto" w:line="240"/>
              <w:ind w:hanging="0"/>
              <w:jc w:val="left"/>
              <w:rPr>
                <w:sz w:val="24"/>
                <w:szCs w:val="24"/>
              </w:rPr>
            </w:pPr>
            <w:r>
              <w:rPr>
                <w:sz w:val="24"/>
                <w:szCs w:val="24"/>
              </w:rPr>
            </w:r>
          </w:p>
        </w:tc>
        <w:tc>
          <w:tcPr>
            <w:tcW w:w="4836" w:type="dxa"/>
            <w:gridSpan w:val="3"/>
            <w:tcBorders/>
            <w:shd w:color="auto" w:fill="auto" w:val="clear"/>
          </w:tcPr>
          <w:p>
            <w:pPr>
              <w:pStyle w:val="Normal"/>
              <w:widowControl w:val="false"/>
              <w:spacing w:lineRule="auto" w:line="240"/>
              <w:ind w:hanging="0"/>
              <w:rPr>
                <w:sz w:val="24"/>
                <w:szCs w:val="24"/>
              </w:rPr>
            </w:pPr>
            <w:r>
              <w:rPr>
                <w:sz w:val="24"/>
                <w:szCs w:val="24"/>
              </w:rPr>
            </w:r>
          </w:p>
        </w:tc>
      </w:tr>
      <w:tr>
        <w:trPr/>
        <w:tc>
          <w:tcPr>
            <w:tcW w:w="235" w:type="dxa"/>
            <w:tcBorders/>
            <w:shd w:color="auto" w:fill="auto" w:val="clear"/>
          </w:tcPr>
          <w:p>
            <w:pPr>
              <w:pStyle w:val="Normal"/>
              <w:widowControl w:val="false"/>
              <w:spacing w:lineRule="auto" w:line="240"/>
              <w:ind w:hanging="0"/>
              <w:jc w:val="left"/>
              <w:rPr>
                <w:sz w:val="24"/>
                <w:szCs w:val="24"/>
              </w:rPr>
            </w:pPr>
            <w:r>
              <w:rPr>
                <w:sz w:val="24"/>
                <w:szCs w:val="24"/>
              </w:rPr>
            </w:r>
          </w:p>
        </w:tc>
        <w:tc>
          <w:tcPr>
            <w:tcW w:w="4539"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4737" w:type="dxa"/>
            <w:gridSpan w:val="4"/>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235" w:type="dxa"/>
            <w:tcBorders/>
            <w:shd w:color="auto" w:fill="auto" w:val="clear"/>
          </w:tcPr>
          <w:p>
            <w:pPr>
              <w:pStyle w:val="Normal"/>
              <w:widowControl w:val="false"/>
              <w:rPr/>
            </w:pPr>
            <w:r>
              <w:rPr/>
            </w:r>
          </w:p>
        </w:tc>
      </w:tr>
    </w:tbl>
    <w:p>
      <w:pPr>
        <w:sectPr>
          <w:headerReference w:type="first" r:id="rId5"/>
          <w:footnotePr>
            <w:numFmt w:val="decimal"/>
          </w:footnotePr>
          <w:type w:val="nextPage"/>
          <w:pgSz w:w="11906" w:h="16838"/>
          <w:pgMar w:left="1418" w:right="851" w:header="709" w:top="1134" w:footer="0" w:bottom="1134" w:gutter="0"/>
          <w:pgNumType w:fmt="decimal"/>
          <w:formProt w:val="false"/>
          <w:titlePg/>
          <w:textDirection w:val="lrTb"/>
          <w:docGrid w:type="default" w:linePitch="381" w:charSpace="0"/>
        </w:sectPr>
      </w:pPr>
    </w:p>
    <w:p>
      <w:pPr>
        <w:pStyle w:val="Normal"/>
        <w:shd w:val="clear" w:color="auto" w:fill="FFFFFF"/>
        <w:tabs>
          <w:tab w:val="clear" w:pos="720"/>
          <w:tab w:val="left" w:pos="3148" w:leader="none"/>
          <w:tab w:val="center" w:pos="4818" w:leader="none"/>
          <w:tab w:val="left" w:pos="6926" w:leader="none"/>
        </w:tabs>
        <w:spacing w:lineRule="auto" w:line="240"/>
        <w:ind w:hanging="0"/>
        <w:jc w:val="right"/>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b/>
          <w:sz w:val="24"/>
          <w:szCs w:val="24"/>
        </w:rPr>
      </w:pPr>
      <w:r>
        <w:rPr>
          <w:b/>
          <w:sz w:val="24"/>
          <w:szCs w:val="24"/>
        </w:rPr>
      </w:r>
    </w:p>
    <w:p>
      <w:pPr>
        <w:pStyle w:val="Normal"/>
        <w:spacing w:lineRule="auto" w:line="240"/>
        <w:ind w:left="1416" w:hanging="0"/>
        <w:rPr>
          <w:b/>
          <w:b/>
          <w:sz w:val="24"/>
          <w:szCs w:val="24"/>
        </w:rPr>
      </w:pPr>
      <w:r>
        <w:rPr>
          <w:b/>
          <w:sz w:val="24"/>
          <w:szCs w:val="24"/>
        </w:rPr>
      </w:r>
    </w:p>
    <w:p>
      <w:pPr>
        <w:pStyle w:val="Normal"/>
        <w:spacing w:lineRule="auto" w:line="240"/>
        <w:ind w:hanging="0"/>
        <w:jc w:val="center"/>
        <w:rPr>
          <w:b/>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Normal"/>
        <w:spacing w:lineRule="auto" w:line="240"/>
        <w:ind w:hanging="0"/>
        <w:jc w:val="center"/>
        <w:rPr>
          <w:b/>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634" w:type="dxa"/>
        <w:jc w:val="left"/>
        <w:tblInd w:w="-10" w:type="dxa"/>
        <w:tblLayout w:type="fixed"/>
        <w:tblCellMar>
          <w:top w:w="0" w:type="dxa"/>
          <w:left w:w="93" w:type="dxa"/>
          <w:bottom w:w="0" w:type="dxa"/>
          <w:right w:w="108" w:type="dxa"/>
        </w:tblCellMar>
        <w:tblLook w:val="04a0" w:noHBand="0" w:noVBand="1" w:firstColumn="1" w:lastRow="0" w:lastColumn="0" w:firstRow="1"/>
      </w:tblPr>
      <w:tblGrid>
        <w:gridCol w:w="705"/>
        <w:gridCol w:w="1609"/>
        <w:gridCol w:w="1422"/>
        <w:gridCol w:w="843"/>
        <w:gridCol w:w="1180"/>
        <w:gridCol w:w="767"/>
        <w:gridCol w:w="993"/>
        <w:gridCol w:w="2113"/>
      </w:tblGrid>
      <w:tr>
        <w:trPr/>
        <w:tc>
          <w:tcPr>
            <w:tcW w:w="705"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60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422"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2023"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767"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993"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Сумма НДС (18%), руб.</w:t>
            </w:r>
          </w:p>
        </w:tc>
        <w:tc>
          <w:tcPr>
            <w:tcW w:w="2113"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705"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60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Начало</w:t>
            </w:r>
          </w:p>
        </w:tc>
        <w:tc>
          <w:tcPr>
            <w:tcW w:w="11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Окончание</w:t>
            </w:r>
          </w:p>
        </w:tc>
        <w:tc>
          <w:tcPr>
            <w:tcW w:w="76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3"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13"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0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1.</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6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1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0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2.</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6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1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0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3.</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6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1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0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4.</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6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1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519"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20"/>
                <w:tab w:val="left" w:pos="395" w:leader="none"/>
              </w:tabs>
              <w:spacing w:lineRule="auto" w:line="240"/>
              <w:ind w:hanging="0"/>
              <w:rPr>
                <w:b/>
                <w:b/>
                <w:sz w:val="24"/>
                <w:szCs w:val="24"/>
              </w:rPr>
            </w:pPr>
            <w:r>
              <w:rPr>
                <w:b/>
                <w:sz w:val="24"/>
                <w:szCs w:val="24"/>
              </w:rPr>
              <w:t>Непредвиденные работы и затраты (лимит)</w:t>
            </w:r>
          </w:p>
        </w:tc>
        <w:tc>
          <w:tcPr>
            <w:tcW w:w="211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b/>
                <w:sz w:val="24"/>
                <w:szCs w:val="24"/>
              </w:rPr>
            </w:pPr>
            <w:r>
              <w:rPr>
                <w:b/>
                <w:sz w:val="24"/>
                <w:szCs w:val="24"/>
              </w:rPr>
            </w:r>
          </w:p>
        </w:tc>
      </w:tr>
      <w:tr>
        <w:trPr/>
        <w:tc>
          <w:tcPr>
            <w:tcW w:w="7519"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b/>
                <w:b/>
                <w:sz w:val="24"/>
                <w:szCs w:val="24"/>
              </w:rPr>
            </w:pPr>
            <w:r>
              <w:rPr>
                <w:b/>
                <w:sz w:val="24"/>
                <w:szCs w:val="24"/>
              </w:rPr>
              <w:t>Всего по Договору:</w:t>
            </w:r>
          </w:p>
        </w:tc>
        <w:tc>
          <w:tcPr>
            <w:tcW w:w="211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6"/>
          <w:footerReference w:type="default" r:id="rId7"/>
          <w:footnotePr>
            <w:numFmt w:val="decimal"/>
          </w:footnotePr>
          <w:type w:val="nextPage"/>
          <w:pgSz w:w="11906" w:h="16838"/>
          <w:pgMar w:left="1418" w:right="851" w:header="567" w:top="1134" w:footer="284" w:bottom="1134" w:gutter="0"/>
          <w:pgNumType w:fmt="decimal"/>
          <w:formProt w:val="false"/>
          <w:textDirection w:val="lrTb"/>
          <w:docGrid w:type="default" w:linePitch="381" w:charSpace="0"/>
        </w:sectPr>
      </w:pPr>
    </w:p>
    <w:p>
      <w:pPr>
        <w:pStyle w:val="Normal"/>
        <w:spacing w:lineRule="auto" w:line="240"/>
        <w:ind w:left="4395" w:firstLine="708"/>
        <w:rPr>
          <w:sz w:val="22"/>
          <w:szCs w:val="22"/>
        </w:rPr>
      </w:pPr>
      <w:r>
        <w:rPr>
          <w:sz w:val="22"/>
          <w:szCs w:val="22"/>
        </w:rPr>
        <w:t>Приложение №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Normal"/>
        <w:spacing w:lineRule="auto" w:line="240"/>
        <w:ind w:hanging="0"/>
        <w:jc w:val="center"/>
        <w:rPr>
          <w:b/>
          <w:b/>
          <w:sz w:val="24"/>
          <w:szCs w:val="24"/>
        </w:rPr>
      </w:pPr>
      <w:r>
        <w:rPr>
          <w:b/>
          <w:sz w:val="24"/>
          <w:szCs w:val="24"/>
        </w:rPr>
        <w:t>СВОДНАЯ СМЕТА 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left="5103" w:hanging="0"/>
        <w:jc w:val="left"/>
        <w:rPr>
          <w:sz w:val="22"/>
          <w:szCs w:val="22"/>
          <w:highlight w:val="lightGray"/>
        </w:rPr>
      </w:pPr>
      <w:r>
        <w:rPr>
          <w:sz w:val="22"/>
          <w:szCs w:val="22"/>
        </w:rPr>
        <w:t xml:space="preserve">                                                                   </w:t>
      </w:r>
      <w:r>
        <w:rPr>
          <w:sz w:val="22"/>
          <w:szCs w:val="22"/>
          <w:highlight w:val="lightGray"/>
        </w:rPr>
        <w:t>Приложение № 4.1</w:t>
      </w:r>
    </w:p>
    <w:p>
      <w:pPr>
        <w:pStyle w:val="Normal"/>
        <w:spacing w:lineRule="auto" w:line="240"/>
        <w:ind w:left="5103" w:hanging="0"/>
        <w:jc w:val="left"/>
        <w:rPr>
          <w:sz w:val="22"/>
          <w:szCs w:val="22"/>
          <w:highlight w:val="lightGray"/>
        </w:rPr>
      </w:pPr>
      <w:r>
        <w:rPr>
          <w:sz w:val="22"/>
          <w:szCs w:val="22"/>
          <w:highlight w:val="lightGray"/>
        </w:rPr>
        <w:t>к Договору подряда</w:t>
      </w:r>
    </w:p>
    <w:p>
      <w:pPr>
        <w:pStyle w:val="Normal"/>
        <w:spacing w:lineRule="auto" w:line="240"/>
        <w:ind w:left="5103" w:hanging="0"/>
        <w:jc w:val="left"/>
        <w:rPr>
          <w:sz w:val="22"/>
          <w:szCs w:val="22"/>
          <w:highlight w:val="lightGray"/>
        </w:rPr>
      </w:pPr>
      <w:r>
        <w:rPr>
          <w:sz w:val="22"/>
          <w:szCs w:val="22"/>
          <w:highlight w:val="lightGray"/>
        </w:rPr>
        <w:t xml:space="preserve">от «____» __________ 20 _ г. № ____ </w:t>
      </w:r>
    </w:p>
    <w:p>
      <w:pPr>
        <w:pStyle w:val="14"/>
        <w:jc w:val="left"/>
        <w:rPr>
          <w:i/>
          <w:i/>
          <w:highlight w:val="lightGray"/>
        </w:rPr>
      </w:pPr>
      <w:r>
        <w:rPr>
          <w:i/>
          <w:highlight w:val="lightGray"/>
        </w:rPr>
      </w:r>
    </w:p>
    <w:p>
      <w:pPr>
        <w:pStyle w:val="14"/>
        <w:jc w:val="left"/>
        <w:rPr>
          <w:i/>
          <w:i/>
          <w:highlight w:val="lightGray"/>
        </w:rPr>
      </w:pPr>
      <w:r>
        <w:rPr>
          <w:i/>
          <w:highlight w:val="lightGray"/>
        </w:rPr>
      </w:r>
    </w:p>
    <w:p>
      <w:pPr>
        <w:pStyle w:val="14"/>
        <w:rPr>
          <w:sz w:val="24"/>
          <w:szCs w:val="24"/>
          <w:highlight w:val="lightGray"/>
        </w:rPr>
      </w:pPr>
      <w:r>
        <w:rPr>
          <w:iCs/>
          <w:sz w:val="24"/>
          <w:szCs w:val="24"/>
          <w:highlight w:val="lightGray"/>
        </w:rPr>
        <w:t>ФОРМА</w:t>
      </w:r>
    </w:p>
    <w:p>
      <w:pPr>
        <w:pStyle w:val="14"/>
        <w:rPr>
          <w:i/>
          <w:i/>
          <w:iCs/>
          <w:sz w:val="24"/>
          <w:szCs w:val="24"/>
          <w:highlight w:val="lightGray"/>
        </w:rPr>
      </w:pPr>
      <w:r>
        <w:rPr>
          <w:sz w:val="24"/>
          <w:szCs w:val="24"/>
          <w:highlight w:val="lightGray"/>
        </w:rPr>
        <w:t>Акта сдачи-приемки места производства Работ и / или</w:t>
      </w:r>
      <w:r>
        <w:rPr>
          <w:sz w:val="24"/>
          <w:highlight w:val="lightGray"/>
        </w:rPr>
        <w:t xml:space="preserve"> места (помещения) для складирования Материально-технических </w:t>
      </w:r>
      <w:r>
        <w:rPr>
          <w:sz w:val="24"/>
          <w:szCs w:val="24"/>
          <w:highlight w:val="lightGray"/>
        </w:rPr>
        <w:t>ресурсов и оборудования</w:t>
      </w:r>
    </w:p>
    <w:p>
      <w:pPr>
        <w:pStyle w:val="Normal"/>
        <w:spacing w:lineRule="auto" w:line="240"/>
        <w:ind w:hanging="0"/>
        <w:rPr>
          <w:sz w:val="24"/>
          <w:szCs w:val="24"/>
          <w:highlight w:val="lightGray"/>
        </w:rPr>
      </w:pPr>
      <w:r>
        <w:rPr>
          <w:sz w:val="24"/>
          <w:szCs w:val="24"/>
          <w:highlight w:val="lightGray"/>
        </w:rPr>
      </w:r>
    </w:p>
    <w:tbl>
      <w:tblPr>
        <w:tblW w:w="4900" w:type="pct"/>
        <w:jc w:val="left"/>
        <w:tblInd w:w="-10" w:type="dxa"/>
        <w:tblLayout w:type="fixed"/>
        <w:tblCellMar>
          <w:top w:w="0" w:type="dxa"/>
          <w:left w:w="93" w:type="dxa"/>
          <w:bottom w:w="0" w:type="dxa"/>
          <w:right w:w="108" w:type="dxa"/>
        </w:tblCellMar>
        <w:tblLook w:val="04a0" w:noHBand="0" w:noVBand="1" w:firstColumn="1" w:lastRow="0" w:lastColumn="0" w:firstRow="1"/>
      </w:tblPr>
      <w:tblGrid>
        <w:gridCol w:w="9444"/>
      </w:tblGrid>
      <w:tr>
        <w:trPr/>
        <w:tc>
          <w:tcPr>
            <w:tcW w:w="9444" w:type="dxa"/>
            <w:tcBorders>
              <w:top w:val="single" w:sz="4" w:space="0" w:color="000001"/>
              <w:left w:val="single" w:sz="4" w:space="0" w:color="000001"/>
              <w:bottom w:val="single" w:sz="4" w:space="0" w:color="000001"/>
              <w:right w:val="single" w:sz="4" w:space="0" w:color="000001"/>
            </w:tcBorders>
            <w:shd w:color="auto" w:fill="auto" w:val="clear"/>
          </w:tcPr>
          <w:p>
            <w:pPr>
              <w:pStyle w:val="14"/>
              <w:widowControl w:val="false"/>
              <w:rPr>
                <w:b w:val="false"/>
                <w:b w:val="false"/>
                <w:highlight w:val="lightGray"/>
              </w:rPr>
            </w:pPr>
            <w:r>
              <w:rPr>
                <w:b w:val="false"/>
                <w:highlight w:val="lightGray"/>
              </w:rPr>
              <w:t xml:space="preserve">Акт </w:t>
            </w:r>
          </w:p>
          <w:p>
            <w:pPr>
              <w:pStyle w:val="14"/>
              <w:widowControl w:val="false"/>
              <w:rPr>
                <w:b w:val="false"/>
                <w:b w:val="false"/>
                <w:i/>
                <w:i/>
                <w:iCs/>
                <w:highlight w:val="lightGray"/>
              </w:rPr>
            </w:pPr>
            <w:r>
              <w:rPr>
                <w:b w:val="false"/>
                <w:highlight w:val="lightGray"/>
              </w:rPr>
              <w:t>сдачи-приемки места производства Работ</w:t>
            </w:r>
            <w:r>
              <w:rPr>
                <w:highlight w:val="lightGray"/>
              </w:rPr>
              <w:t xml:space="preserve"> </w:t>
            </w:r>
            <w:r>
              <w:rPr>
                <w:b w:val="false"/>
                <w:highlight w:val="lightGray"/>
              </w:rPr>
              <w:t>и / или места (помещения) для складирования Материально-технических ресурсов и оборудования</w:t>
            </w:r>
          </w:p>
          <w:p>
            <w:pPr>
              <w:pStyle w:val="Normal"/>
              <w:widowControl w:val="false"/>
              <w:rPr>
                <w:sz w:val="22"/>
                <w:highlight w:val="lightGray"/>
              </w:rPr>
            </w:pPr>
            <w:r>
              <w:rPr>
                <w:sz w:val="22"/>
                <w:highlight w:val="lightGray"/>
              </w:rPr>
            </w:r>
          </w:p>
          <w:p>
            <w:pPr>
              <w:pStyle w:val="Normal"/>
              <w:widowControl w:val="false"/>
              <w:ind w:hanging="0"/>
              <w:rPr>
                <w:sz w:val="22"/>
                <w:szCs w:val="22"/>
                <w:highlight w:val="lightGray"/>
              </w:rPr>
            </w:pPr>
            <w:r>
              <w:rPr>
                <w:sz w:val="22"/>
                <w:szCs w:val="22"/>
                <w:highlight w:val="lightGray"/>
              </w:rPr>
              <w:t>г.___________                                                                                              «_____» _________201_г.</w:t>
            </w:r>
          </w:p>
          <w:p>
            <w:pPr>
              <w:pStyle w:val="Normal"/>
              <w:widowControl w:val="false"/>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highlight w:val="lightGray"/>
              </w:rPr>
            </w:pPr>
            <w:r>
              <w:rPr>
                <w:sz w:val="22"/>
                <w:szCs w:val="22"/>
                <w:highlight w:val="lightGray"/>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highlight w:val="lightGray"/>
              </w:rPr>
            </w:pPr>
            <w:r>
              <w:rPr>
                <w:sz w:val="22"/>
                <w:szCs w:val="22"/>
                <w:highlight w:val="lightGray"/>
              </w:rPr>
              <w:t>Заказчик передал Подрядчику, а Подрядчик принял</w:t>
            </w:r>
            <w:r>
              <w:rPr>
                <w:bCs/>
                <w:sz w:val="22"/>
                <w:szCs w:val="22"/>
                <w:highlight w:val="lightGray"/>
              </w:rPr>
              <w:t xml:space="preserve"> место производства Работ _____________________________ (указываются идентифицирующие признаки) и / или </w:t>
            </w:r>
            <w:r>
              <w:rPr>
                <w:sz w:val="22"/>
                <w:szCs w:val="22"/>
                <w:highlight w:val="lightGray"/>
              </w:rPr>
              <w:t xml:space="preserve">место (помещение) для складирования </w:t>
            </w:r>
            <w:r>
              <w:rPr>
                <w:bCs/>
                <w:sz w:val="22"/>
                <w:szCs w:val="22"/>
                <w:highlight w:val="lightGray"/>
              </w:rPr>
              <w:t>Материально-технических ресурсов и оборудования</w:t>
            </w:r>
            <w:r>
              <w:rPr>
                <w:sz w:val="22"/>
                <w:szCs w:val="22"/>
                <w:highlight w:val="lightGray"/>
              </w:rPr>
              <w:t xml:space="preserve"> _____________________________ </w:t>
            </w:r>
            <w:r>
              <w:rPr>
                <w:bCs/>
                <w:sz w:val="22"/>
                <w:szCs w:val="22"/>
                <w:highlight w:val="lightGray"/>
              </w:rPr>
              <w:t xml:space="preserve">(указываются идентифицирующие признаки) </w:t>
            </w:r>
            <w:r>
              <w:rPr>
                <w:sz w:val="22"/>
                <w:szCs w:val="22"/>
                <w:highlight w:val="lightGray"/>
              </w:rPr>
              <w:t>по Договору по</w:t>
            </w:r>
            <w:r>
              <w:rPr>
                <w:bCs/>
                <w:sz w:val="22"/>
                <w:szCs w:val="22"/>
                <w:highlight w:val="lightGray"/>
              </w:rPr>
              <w:t>дряда №______ от _____________.</w:t>
            </w:r>
          </w:p>
          <w:p>
            <w:pPr>
              <w:pStyle w:val="Normal"/>
              <w:widowControl w:val="false"/>
              <w:spacing w:lineRule="auto" w:line="240"/>
              <w:ind w:hanging="0"/>
              <w:rPr>
                <w:bCs/>
                <w:sz w:val="22"/>
                <w:szCs w:val="22"/>
                <w:highlight w:val="lightGray"/>
              </w:rPr>
            </w:pPr>
            <w:r>
              <w:rPr>
                <w:bCs/>
                <w:sz w:val="22"/>
                <w:szCs w:val="22"/>
                <w:highlight w:val="lightGray"/>
              </w:rPr>
              <w:t xml:space="preserve">Место для производства Работ и </w:t>
            </w:r>
            <w:r>
              <w:rPr>
                <w:sz w:val="22"/>
                <w:szCs w:val="22"/>
                <w:highlight w:val="lightGray"/>
              </w:rPr>
              <w:t xml:space="preserve">место (помещение) для складирования </w:t>
            </w:r>
            <w:r>
              <w:rPr>
                <w:bCs/>
                <w:sz w:val="22"/>
                <w:szCs w:val="22"/>
                <w:highlight w:val="lightGray"/>
              </w:rPr>
              <w:t xml:space="preserve">Материально-технических ресурсов и оборудования переданы / передано </w:t>
            </w:r>
            <w:r>
              <w:rPr>
                <w:sz w:val="22"/>
                <w:szCs w:val="22"/>
                <w:highlight w:val="lightGray"/>
              </w:rPr>
              <w:t>Подрядчику</w:t>
            </w:r>
            <w:r>
              <w:rPr>
                <w:bCs/>
                <w:sz w:val="22"/>
                <w:szCs w:val="22"/>
                <w:highlight w:val="lightGray"/>
              </w:rPr>
              <w:t xml:space="preserve"> в установленный Договором срок. </w:t>
            </w:r>
          </w:p>
          <w:p>
            <w:pPr>
              <w:pStyle w:val="Normal"/>
              <w:widowControl w:val="false"/>
              <w:spacing w:lineRule="auto" w:line="240"/>
              <w:ind w:hanging="0"/>
              <w:rPr>
                <w:bCs/>
                <w:sz w:val="22"/>
                <w:szCs w:val="22"/>
                <w:highlight w:val="lightGray"/>
              </w:rPr>
            </w:pPr>
            <w:r>
              <w:rPr>
                <w:bCs/>
                <w:sz w:val="22"/>
                <w:szCs w:val="22"/>
                <w:highlight w:val="lightGray"/>
              </w:rPr>
              <w:t xml:space="preserve">Претензии </w:t>
            </w:r>
            <w:r>
              <w:rPr>
                <w:sz w:val="22"/>
                <w:szCs w:val="22"/>
                <w:highlight w:val="lightGray"/>
              </w:rPr>
              <w:t>Подрядчика</w:t>
            </w:r>
            <w:r>
              <w:rPr>
                <w:bCs/>
                <w:sz w:val="22"/>
                <w:szCs w:val="22"/>
                <w:highlight w:val="lightGray"/>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sz w:val="22"/>
                <w:highlight w:val="lightGray"/>
              </w:rPr>
            </w:pPr>
            <w:r>
              <w:rPr>
                <w:i/>
                <w:sz w:val="22"/>
                <w:highlight w:val="lightGray"/>
              </w:rPr>
              <w:t>(указать конкретные претензии или указать «не имеются»)</w:t>
            </w:r>
            <w:r>
              <w:rPr>
                <w:sz w:val="22"/>
                <w:highlight w:val="lightGray"/>
              </w:rPr>
              <w:t>.</w:t>
            </w:r>
          </w:p>
          <w:p>
            <w:pPr>
              <w:pStyle w:val="Normal"/>
              <w:widowControl w:val="false"/>
              <w:spacing w:lineRule="auto" w:line="240"/>
              <w:ind w:hanging="0"/>
              <w:rPr>
                <w:bCs/>
                <w:sz w:val="22"/>
                <w:szCs w:val="22"/>
                <w:highlight w:val="lightGray"/>
              </w:rPr>
            </w:pPr>
            <w:r>
              <w:rPr>
                <w:bCs/>
                <w:sz w:val="22"/>
                <w:szCs w:val="22"/>
                <w:highlight w:val="lightGray"/>
              </w:rPr>
              <w:t xml:space="preserve">Претензии </w:t>
            </w:r>
            <w:r>
              <w:rPr>
                <w:sz w:val="22"/>
                <w:szCs w:val="22"/>
                <w:highlight w:val="lightGray"/>
              </w:rPr>
              <w:t>Подрядчика</w:t>
            </w:r>
            <w:r>
              <w:rPr>
                <w:bCs/>
                <w:sz w:val="22"/>
                <w:szCs w:val="22"/>
                <w:highlight w:val="lightGray"/>
              </w:rPr>
              <w:t xml:space="preserve"> (замечания и недостатки) к месту</w:t>
            </w:r>
            <w:r>
              <w:rPr>
                <w:sz w:val="22"/>
                <w:szCs w:val="22"/>
                <w:highlight w:val="lightGray"/>
              </w:rPr>
              <w:t xml:space="preserve"> складирования </w:t>
            </w:r>
            <w:r>
              <w:rPr>
                <w:bCs/>
                <w:sz w:val="22"/>
                <w:szCs w:val="22"/>
                <w:highlight w:val="lightGray"/>
              </w:rPr>
              <w:t>Материально-технических ресурсов и оборудования: _____________________________________</w:t>
            </w:r>
          </w:p>
          <w:p>
            <w:pPr>
              <w:pStyle w:val="Normal"/>
              <w:widowControl w:val="false"/>
              <w:spacing w:lineRule="auto" w:line="240"/>
              <w:ind w:hanging="0"/>
              <w:rPr>
                <w:sz w:val="22"/>
                <w:szCs w:val="22"/>
                <w:highlight w:val="lightGray"/>
              </w:rPr>
            </w:pPr>
            <w:r>
              <w:rPr>
                <w:sz w:val="22"/>
                <w:szCs w:val="22"/>
                <w:highlight w:val="lightGray"/>
              </w:rPr>
              <w:t xml:space="preserve"> </w:t>
            </w:r>
            <w:r>
              <w:rPr>
                <w:sz w:val="22"/>
                <w:szCs w:val="22"/>
                <w:highlight w:val="lightGray"/>
              </w:rPr>
              <w:t>(</w:t>
            </w:r>
            <w:r>
              <w:rPr>
                <w:i/>
                <w:sz w:val="22"/>
                <w:highlight w:val="lightGray"/>
              </w:rPr>
              <w:t>указать конкретные претензии или указать «не имеются»)</w:t>
            </w:r>
            <w:r>
              <w:rPr>
                <w:sz w:val="22"/>
                <w:highlight w:val="lightGray"/>
              </w:rPr>
              <w:t>.</w:t>
            </w:r>
          </w:p>
          <w:p>
            <w:pPr>
              <w:pStyle w:val="Normal"/>
              <w:widowControl w:val="false"/>
              <w:rPr>
                <w:sz w:val="22"/>
                <w:szCs w:val="22"/>
                <w:highlight w:val="lightGray"/>
              </w:rPr>
            </w:pPr>
            <w:r>
              <w:rPr>
                <w:sz w:val="22"/>
                <w:szCs w:val="22"/>
                <w:highlight w:val="lightGray"/>
              </w:rPr>
            </w:r>
          </w:p>
          <w:tbl>
            <w:tblPr>
              <w:tblW w:w="927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38"/>
              <w:gridCol w:w="4637"/>
            </w:tblGrid>
            <w:tr>
              <w:trPr/>
              <w:tc>
                <w:tcPr>
                  <w:tcW w:w="4638" w:type="dxa"/>
                  <w:tcBorders/>
                  <w:shd w:color="auto" w:fill="auto" w:val="clear"/>
                </w:tcPr>
                <w:p>
                  <w:pPr>
                    <w:pStyle w:val="Normal"/>
                    <w:widowControl w:val="false"/>
                    <w:spacing w:lineRule="auto" w:line="240"/>
                    <w:ind w:hanging="0"/>
                    <w:rPr>
                      <w:sz w:val="22"/>
                      <w:highlight w:val="lightGray"/>
                    </w:rPr>
                  </w:pPr>
                  <w:r>
                    <w:rPr>
                      <w:sz w:val="22"/>
                      <w:highlight w:val="lightGray"/>
                    </w:rPr>
                    <w:t>Заказчик:</w:t>
                  </w:r>
                </w:p>
              </w:tc>
              <w:tc>
                <w:tcPr>
                  <w:tcW w:w="4637" w:type="dxa"/>
                  <w:tcBorders/>
                  <w:shd w:color="auto" w:fill="auto" w:val="clear"/>
                </w:tcPr>
                <w:p>
                  <w:pPr>
                    <w:pStyle w:val="Normal"/>
                    <w:widowControl w:val="false"/>
                    <w:spacing w:lineRule="auto" w:line="240"/>
                    <w:ind w:hanging="0"/>
                    <w:rPr>
                      <w:sz w:val="22"/>
                      <w:highlight w:val="lightGray"/>
                    </w:rPr>
                  </w:pPr>
                  <w:r>
                    <w:rPr>
                      <w:sz w:val="22"/>
                      <w:highlight w:val="lightGray"/>
                    </w:rPr>
                    <w:t>Подрядчик:</w:t>
                  </w:r>
                </w:p>
              </w:tc>
            </w:tr>
            <w:tr>
              <w:trPr/>
              <w:tc>
                <w:tcPr>
                  <w:tcW w:w="4638" w:type="dxa"/>
                  <w:tcBorders/>
                  <w:shd w:color="auto"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 xml:space="preserve">_______________ / _______________ </w:t>
                  </w:r>
                </w:p>
                <w:p>
                  <w:pPr>
                    <w:pStyle w:val="Normal"/>
                    <w:widowControl w:val="false"/>
                    <w:spacing w:lineRule="auto" w:line="240"/>
                    <w:ind w:hanging="0"/>
                    <w:rPr>
                      <w:sz w:val="22"/>
                      <w:szCs w:val="22"/>
                      <w:highlight w:val="lightGray"/>
                    </w:rPr>
                  </w:pPr>
                  <w:r>
                    <w:rPr>
                      <w:sz w:val="22"/>
                      <w:szCs w:val="22"/>
                      <w:highlight w:val="lightGray"/>
                    </w:rPr>
                  </w:r>
                </w:p>
              </w:tc>
              <w:tc>
                <w:tcPr>
                  <w:tcW w:w="4637" w:type="dxa"/>
                  <w:tcBorders/>
                  <w:shd w:color="auto"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 xml:space="preserve">_______________ / _______________ </w:t>
                  </w:r>
                </w:p>
                <w:p>
                  <w:pPr>
                    <w:pStyle w:val="Normal"/>
                    <w:widowControl w:val="false"/>
                    <w:spacing w:lineRule="auto" w:line="240"/>
                    <w:ind w:hanging="0"/>
                    <w:rPr>
                      <w:sz w:val="22"/>
                      <w:szCs w:val="22"/>
                      <w:highlight w:val="lightGray"/>
                    </w:rPr>
                  </w:pPr>
                  <w:r>
                    <w:rPr>
                      <w:sz w:val="22"/>
                      <w:szCs w:val="22"/>
                      <w:highlight w:val="lightGray"/>
                    </w:rPr>
                  </w:r>
                </w:p>
              </w:tc>
            </w:tr>
          </w:tbl>
          <w:p>
            <w:pPr>
              <w:pStyle w:val="14"/>
              <w:widowControl w:val="false"/>
              <w:spacing w:before="0" w:after="120"/>
              <w:jc w:val="left"/>
              <w:rPr>
                <w:i/>
                <w:i/>
                <w:iCs/>
                <w:highlight w:val="lightGray"/>
              </w:rPr>
            </w:pPr>
            <w:r>
              <w:rPr>
                <w:i/>
                <w:iCs/>
                <w:highlight w:val="lightGray"/>
              </w:rPr>
            </w:r>
          </w:p>
        </w:tc>
      </w:tr>
    </w:tbl>
    <w:p>
      <w:pPr>
        <w:pStyle w:val="14"/>
        <w:jc w:val="left"/>
        <w:rPr>
          <w:i/>
          <w:i/>
          <w:iCs/>
          <w:highlight w:val="lightGray"/>
        </w:rPr>
      </w:pPr>
      <w:r>
        <w:rPr>
          <w:i/>
          <w:iCs/>
          <w:highlight w:val="lightGray"/>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highlight w:val="lightGray"/>
              </w:rPr>
            </w:pPr>
            <w:r>
              <w:rPr>
                <w:b/>
                <w:sz w:val="24"/>
                <w:highlight w:val="lightGray"/>
              </w:rPr>
              <w:t>Заказчик:</w:t>
            </w:r>
          </w:p>
        </w:tc>
        <w:tc>
          <w:tcPr>
            <w:tcW w:w="4785" w:type="dxa"/>
            <w:tcBorders/>
            <w:shd w:color="auto" w:fill="auto" w:val="clear"/>
          </w:tcPr>
          <w:p>
            <w:pPr>
              <w:pStyle w:val="Normal"/>
              <w:widowControl w:val="false"/>
              <w:spacing w:lineRule="auto" w:line="240"/>
              <w:ind w:hanging="0"/>
              <w:rPr>
                <w:b/>
                <w:b/>
                <w:sz w:val="24"/>
                <w:highlight w:val="lightGray"/>
              </w:rPr>
            </w:pPr>
            <w:r>
              <w:rPr>
                <w:b/>
                <w:sz w:val="24"/>
                <w:highlight w:val="lightGray"/>
              </w:rPr>
              <w:t>Подрядчик:</w:t>
            </w:r>
          </w:p>
        </w:tc>
      </w:tr>
      <w:tr>
        <w:trPr/>
        <w:tc>
          <w:tcPr>
            <w:tcW w:w="4785" w:type="dxa"/>
            <w:tcBorders/>
            <w:shd w:color="auto"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 xml:space="preserve">_______________ / _______________ </w:t>
            </w:r>
          </w:p>
          <w:p>
            <w:pPr>
              <w:pStyle w:val="Normal"/>
              <w:widowControl w:val="false"/>
              <w:spacing w:lineRule="auto" w:line="240"/>
              <w:ind w:hanging="0"/>
              <w:rPr>
                <w:sz w:val="22"/>
                <w:szCs w:val="22"/>
                <w:highlight w:val="lightGray"/>
              </w:rPr>
            </w:pPr>
            <w:r>
              <w:rPr>
                <w:sz w:val="22"/>
                <w:szCs w:val="22"/>
                <w:highlight w:val="lightGray"/>
              </w:rPr>
            </w:r>
          </w:p>
        </w:tc>
        <w:tc>
          <w:tcPr>
            <w:tcW w:w="4785" w:type="dxa"/>
            <w:tcBorders/>
            <w:shd w:color="auto"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rPr>
            </w:pPr>
            <w:r>
              <w:rPr>
                <w:sz w:val="22"/>
                <w:szCs w:val="22"/>
                <w:highlight w:val="lightGray"/>
              </w:rPr>
              <w:t>_______________ / _______________</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5103" w:hanging="0"/>
        <w:jc w:val="left"/>
        <w:rPr>
          <w:sz w:val="22"/>
          <w:szCs w:val="22"/>
        </w:rPr>
      </w:pPr>
      <w:r>
        <w:rPr>
          <w:sz w:val="22"/>
          <w:szCs w:val="22"/>
        </w:rPr>
        <w:t>Приложение № 4.2</w:t>
      </w:r>
    </w:p>
    <w:p>
      <w:pPr>
        <w:pStyle w:val="Normal"/>
        <w:spacing w:lineRule="auto" w:line="240"/>
        <w:ind w:left="5103" w:hanging="0"/>
        <w:jc w:val="left"/>
        <w:rPr>
          <w:sz w:val="22"/>
          <w:szCs w:val="22"/>
        </w:rPr>
      </w:pPr>
      <w:r>
        <w:rPr>
          <w:sz w:val="22"/>
          <w:szCs w:val="22"/>
        </w:rPr>
        <w:t>к Договору подряда</w:t>
      </w:r>
    </w:p>
    <w:p>
      <w:pPr>
        <w:pStyle w:val="Normal"/>
        <w:spacing w:lineRule="auto" w:line="240"/>
        <w:ind w:left="5103" w:hanging="0"/>
        <w:jc w:val="lef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14"/>
        <w:rPr>
          <w:b w:val="false"/>
          <w:b w:val="false"/>
          <w:sz w:val="24"/>
        </w:rPr>
      </w:pPr>
      <w:r>
        <w:rPr>
          <w:sz w:val="24"/>
        </w:rPr>
        <w:t>ФОРМА</w:t>
      </w:r>
    </w:p>
    <w:p>
      <w:pPr>
        <w:pStyle w:val="14"/>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10" w:type="dxa"/>
        <w:tblLayout w:type="fixed"/>
        <w:tblCellMar>
          <w:top w:w="0" w:type="dxa"/>
          <w:left w:w="93" w:type="dxa"/>
          <w:bottom w:w="0" w:type="dxa"/>
          <w:right w:w="108" w:type="dxa"/>
        </w:tblCellMar>
        <w:tblLook w:val="04a0" w:noHBand="0" w:noVBand="1" w:firstColumn="1" w:lastRow="0" w:lastColumn="0" w:firstRow="1"/>
      </w:tblPr>
      <w:tblGrid>
        <w:gridCol w:w="9637"/>
      </w:tblGrid>
      <w:tr>
        <w:trPr/>
        <w:tc>
          <w:tcPr>
            <w:tcW w:w="9637" w:type="dxa"/>
            <w:tcBorders>
              <w:top w:val="single" w:sz="4" w:space="0" w:color="000001"/>
              <w:left w:val="single" w:sz="4" w:space="0" w:color="000001"/>
              <w:bottom w:val="single" w:sz="4" w:space="0" w:color="000001"/>
              <w:right w:val="single" w:sz="4" w:space="0" w:color="000001"/>
            </w:tcBorders>
            <w:shd w:color="auto" w:fill="auto" w:val="clear"/>
          </w:tcPr>
          <w:p>
            <w:pPr>
              <w:pStyle w:val="14"/>
              <w:widowControl w:val="false"/>
              <w:rPr>
                <w:b w:val="false"/>
                <w:b w:val="false"/>
              </w:rPr>
            </w:pPr>
            <w:r>
              <w:rPr>
                <w:b w:val="false"/>
              </w:rPr>
              <w:t xml:space="preserve">Акт </w:t>
            </w:r>
          </w:p>
          <w:p>
            <w:pPr>
              <w:pStyle w:val="14"/>
              <w:widowControl w:val="false"/>
              <w:rPr>
                <w:i/>
                <w:i/>
                <w:iCs/>
              </w:rPr>
            </w:pPr>
            <w:r>
              <w:rPr>
                <w:b w:val="false"/>
              </w:rPr>
              <w:t>сдачи-приемки технической и иной документации</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г.___________                                                                                               «_____» _________201_г.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shd w:color="auto" w:fill="auto" w:val="clear"/>
                </w:tcPr>
                <w:p>
                  <w:pPr>
                    <w:pStyle w:val="Normal"/>
                    <w:widowControl w:val="false"/>
                    <w:spacing w:lineRule="auto" w:line="240"/>
                    <w:ind w:hanging="0"/>
                    <w:rPr>
                      <w:bCs/>
                      <w:sz w:val="24"/>
                      <w:szCs w:val="24"/>
                    </w:rPr>
                  </w:pPr>
                  <w:r>
                    <w:rPr>
                      <w:bCs/>
                      <w:sz w:val="24"/>
                      <w:szCs w:val="24"/>
                    </w:rPr>
                    <w:t>Заказчик:</w:t>
                  </w:r>
                </w:p>
              </w:tc>
              <w:tc>
                <w:tcPr>
                  <w:tcW w:w="4705" w:type="dxa"/>
                  <w:tcBorders/>
                  <w:shd w:color="auto" w:fill="auto" w:val="clear"/>
                </w:tcPr>
                <w:p>
                  <w:pPr>
                    <w:pStyle w:val="Normal"/>
                    <w:widowControl w:val="false"/>
                    <w:spacing w:lineRule="auto" w:line="240"/>
                    <w:ind w:hanging="0"/>
                    <w:rPr>
                      <w:bCs/>
                      <w:sz w:val="24"/>
                      <w:szCs w:val="24"/>
                    </w:rPr>
                  </w:pPr>
                  <w:r>
                    <w:rPr>
                      <w:bCs/>
                      <w:sz w:val="24"/>
                      <w:szCs w:val="24"/>
                    </w:rPr>
                    <w:t>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14"/>
              <w:widowControl w:val="false"/>
              <w:jc w:val="left"/>
              <w:rPr>
                <w:i/>
                <w:i/>
                <w:iCs/>
              </w:rPr>
            </w:pPr>
            <w:r>
              <w:rPr>
                <w:i/>
                <w:iCs/>
              </w:rPr>
            </w:r>
          </w:p>
          <w:p>
            <w:pPr>
              <w:pStyle w:val="14"/>
              <w:widowControl w:val="false"/>
              <w:spacing w:before="0" w:after="120"/>
              <w:jc w:val="left"/>
              <w:rPr>
                <w:i/>
                <w:i/>
                <w:iCs/>
              </w:rPr>
            </w:pPr>
            <w:r>
              <w:rPr>
                <w:i/>
                <w:iCs/>
              </w:rPr>
            </w:r>
          </w:p>
        </w:tc>
      </w:tr>
    </w:tbl>
    <w:p>
      <w:pPr>
        <w:pStyle w:val="14"/>
        <w:jc w:val="left"/>
        <w:rPr>
          <w:i/>
          <w:i/>
          <w:iCs/>
        </w:rPr>
      </w:pPr>
      <w:r>
        <w:rPr>
          <w:i/>
          <w:iCs/>
        </w:rPr>
      </w:r>
    </w:p>
    <w:p>
      <w:pPr>
        <w:pStyle w:val="14"/>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left="5103"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 xml:space="preserve"> </w:t>
      </w: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
          <w:bCs/>
          <w:sz w:val="24"/>
          <w:szCs w:val="24"/>
        </w:rPr>
      </w:pPr>
      <w:r>
        <w:rPr>
          <w:b/>
          <w:bCs/>
          <w:sz w:val="24"/>
          <w:szCs w:val="24"/>
        </w:rPr>
      </w:r>
    </w:p>
    <w:p>
      <w:pPr>
        <w:pStyle w:val="Normal"/>
        <w:spacing w:lineRule="auto" w:line="240"/>
        <w:jc w:val="center"/>
        <w:rPr>
          <w:b/>
          <w:b/>
          <w:bCs/>
        </w:rPr>
      </w:pPr>
      <w:r>
        <w:rPr>
          <w:b/>
          <w:bCs/>
        </w:rPr>
      </w:r>
    </w:p>
    <w:p>
      <w:pPr>
        <w:pStyle w:val="Normal"/>
        <w:spacing w:lineRule="auto" w:line="240"/>
        <w:jc w:val="center"/>
        <w:rPr>
          <w:b/>
          <w:b/>
          <w:sz w:val="24"/>
        </w:rPr>
      </w:pPr>
      <w:r>
        <w:rPr>
          <w:b/>
          <w:sz w:val="24"/>
        </w:rPr>
        <w:t>Перечень допусков, разрешений и лицензий Подрядчика</w:t>
      </w:r>
    </w:p>
    <w:p>
      <w:pPr>
        <w:pStyle w:val="Normal"/>
        <w:spacing w:lineRule="auto" w:line="240"/>
        <w:jc w:val="center"/>
        <w:rPr>
          <w:b/>
          <w:b/>
          <w:bCs/>
        </w:rPr>
      </w:pPr>
      <w:r>
        <w:rPr>
          <w:b/>
          <w:bCs/>
        </w:rPr>
      </w:r>
    </w:p>
    <w:tbl>
      <w:tblPr>
        <w:tblW w:w="5000" w:type="pct"/>
        <w:jc w:val="left"/>
        <w:tblInd w:w="-10" w:type="dxa"/>
        <w:tblLayout w:type="fixed"/>
        <w:tblCellMar>
          <w:top w:w="0" w:type="dxa"/>
          <w:left w:w="93" w:type="dxa"/>
          <w:bottom w:w="0" w:type="dxa"/>
          <w:right w:w="108" w:type="dxa"/>
        </w:tblCellMar>
        <w:tblLook w:val="04a0" w:noHBand="0" w:noVBand="1" w:firstColumn="1" w:lastRow="0" w:lastColumn="0" w:firstRow="1"/>
      </w:tblPr>
      <w:tblGrid>
        <w:gridCol w:w="678"/>
        <w:gridCol w:w="2160"/>
        <w:gridCol w:w="1228"/>
        <w:gridCol w:w="1091"/>
        <w:gridCol w:w="939"/>
        <w:gridCol w:w="1281"/>
        <w:gridCol w:w="2259"/>
      </w:tblGrid>
      <w:tr>
        <w:trPr>
          <w:trHeight w:val="2142" w:hRule="atLeast"/>
        </w:trPr>
        <w:tc>
          <w:tcPr>
            <w:tcW w:w="67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1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7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1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7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1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
          <w:bCs/>
        </w:rPr>
      </w:pPr>
      <w:r>
        <w:rPr>
          <w:b/>
          <w:bCs/>
        </w:rPr>
      </w:r>
    </w:p>
    <w:p>
      <w:pPr>
        <w:pStyle w:val="Normal"/>
        <w:spacing w:lineRule="auto" w:line="240"/>
        <w:jc w:val="center"/>
        <w:rPr>
          <w:b/>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
          <w:sz w:val="24"/>
        </w:rPr>
      </w:pPr>
      <w:r>
        <w:rPr>
          <w:b/>
          <w:sz w:val="24"/>
        </w:rPr>
      </w:r>
    </w:p>
    <w:p>
      <w:pPr>
        <w:pStyle w:val="Normal"/>
        <w:spacing w:lineRule="auto" w:line="240"/>
        <w:ind w:hanging="0"/>
        <w:jc w:val="center"/>
        <w:rPr>
          <w:b/>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b/>
          <w:color w:val="000000"/>
          <w:sz w:val="24"/>
          <w:szCs w:val="24"/>
        </w:rPr>
      </w:pPr>
      <w:r>
        <w:rPr>
          <w:b/>
          <w:bCs/>
          <w:sz w:val="24"/>
          <w:szCs w:val="24"/>
        </w:rPr>
        <w:t>пожарной и промышленной безопасности</w:t>
      </w:r>
    </w:p>
    <w:p>
      <w:pPr>
        <w:pStyle w:val="Normal"/>
        <w:spacing w:lineRule="auto" w:line="240"/>
        <w:rPr>
          <w:b/>
          <w:b/>
          <w:sz w:val="24"/>
          <w:szCs w:val="24"/>
        </w:rPr>
      </w:pPr>
      <w:r>
        <w:rPr>
          <w:b/>
          <w:sz w:val="24"/>
          <w:szCs w:val="24"/>
        </w:rPr>
      </w:r>
    </w:p>
    <w:tbl>
      <w:tblPr>
        <w:tblW w:w="4850" w:type="pct"/>
        <w:jc w:val="left"/>
        <w:tblInd w:w="-10" w:type="dxa"/>
        <w:tblLayout w:type="fixed"/>
        <w:tblCellMar>
          <w:top w:w="0" w:type="dxa"/>
          <w:left w:w="93" w:type="dxa"/>
          <w:bottom w:w="0" w:type="dxa"/>
          <w:right w:w="108" w:type="dxa"/>
        </w:tblCellMar>
        <w:tblLook w:val="01e0" w:noHBand="0" w:noVBand="0" w:firstColumn="1" w:lastRow="1" w:lastColumn="1" w:firstRow="1"/>
      </w:tblPr>
      <w:tblGrid>
        <w:gridCol w:w="3655"/>
        <w:gridCol w:w="5691"/>
      </w:tblGrid>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b/>
                <w:sz w:val="24"/>
                <w:szCs w:val="24"/>
              </w:rPr>
            </w:pPr>
            <w:r>
              <w:rPr>
                <w:b/>
                <w:sz w:val="24"/>
                <w:szCs w:val="24"/>
              </w:rPr>
              <w:t>Виды нарушений</w:t>
            </w:r>
          </w:p>
        </w:tc>
        <w:tc>
          <w:tcPr>
            <w:tcW w:w="56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b/>
                <w:sz w:val="24"/>
                <w:szCs w:val="24"/>
              </w:rPr>
            </w:pPr>
            <w:r>
              <w:rPr>
                <w:b/>
                <w:sz w:val="24"/>
                <w:szCs w:val="24"/>
              </w:rPr>
              <w:t>Штрафные санкции</w:t>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 Нарушение правил пожарной безопасности (ППБ):</w:t>
            </w:r>
          </w:p>
        </w:tc>
        <w:tc>
          <w:tcPr>
            <w:tcW w:w="56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b/>
                <w:sz w:val="24"/>
                <w:szCs w:val="24"/>
              </w:rPr>
            </w:pPr>
            <w:r>
              <w:rPr>
                <w:b/>
                <w:sz w:val="24"/>
                <w:szCs w:val="24"/>
              </w:rPr>
            </w:r>
          </w:p>
        </w:tc>
        <w:tc>
          <w:tcPr>
            <w:tcW w:w="569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ind w:hanging="0"/>
              <w:rPr/>
            </w:pPr>
            <w:r>
              <w:rPr>
                <w:sz w:val="24"/>
                <w:szCs w:val="24"/>
              </w:rPr>
              <w:t>100 000 (сто тысяч) рублей за каждый случай нарушения.</w:t>
            </w:r>
          </w:p>
          <w:p>
            <w:pPr>
              <w:pStyle w:val="Normal"/>
              <w:widowControl w:val="false"/>
              <w:spacing w:lineRule="auto" w:line="240"/>
              <w:ind w:hanging="0"/>
              <w:rPr/>
            </w:pPr>
            <w:r>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ind w:hanging="0"/>
              <w:rPr/>
            </w:pPr>
            <w:r>
              <w:rPr>
                <w:sz w:val="24"/>
                <w:szCs w:val="24"/>
              </w:rPr>
              <w:t>200 000 (двести тысяч) рублей за каждый случай нарушения.</w:t>
            </w:r>
          </w:p>
          <w:p>
            <w:pPr>
              <w:pStyle w:val="Normal"/>
              <w:widowControl w:val="false"/>
              <w:spacing w:lineRule="auto" w:line="240"/>
              <w:ind w:hanging="0"/>
              <w:rPr/>
            </w:pPr>
            <w:r>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ind w:hanging="0"/>
              <w:rPr/>
            </w:pPr>
            <w:r>
              <w:rPr>
                <w:sz w:val="24"/>
                <w:szCs w:val="24"/>
              </w:rPr>
              <w:t xml:space="preserve"> </w:t>
            </w:r>
            <w:r>
              <w:rPr>
                <w:sz w:val="24"/>
                <w:szCs w:val="24"/>
              </w:rPr>
              <w:t>500 000 (пятьсот тысяч) рублей за каждый случай нарушения.</w:t>
            </w:r>
          </w:p>
        </w:tc>
      </w:tr>
      <w:tr>
        <w:trPr/>
        <w:tc>
          <w:tcPr>
            <w:tcW w:w="36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pPr>
            <w:r>
              <w:rPr>
                <w:sz w:val="24"/>
                <w:szCs w:val="24"/>
              </w:rPr>
              <w:t>2. Нарушение пропускного и внутриобъектового режима</w:t>
            </w:r>
            <w:r>
              <w:rPr>
                <w:color w:val="000000"/>
                <w:sz w:val="24"/>
                <w:szCs w:val="24"/>
              </w:rPr>
              <w:t>, промышленной безопасности, охраны окружающей среды, санитарно-эпидемиологических правил и норм.</w:t>
            </w:r>
            <w:r>
              <w:rPr>
                <w:sz w:val="24"/>
                <w:szCs w:val="24"/>
              </w:rPr>
              <w:t xml:space="preserve"> </w:t>
            </w:r>
          </w:p>
        </w:tc>
        <w:tc>
          <w:tcPr>
            <w:tcW w:w="569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ind w:hanging="0"/>
              <w:rPr/>
            </w:pPr>
            <w:r>
              <w:rPr>
                <w:sz w:val="24"/>
                <w:szCs w:val="24"/>
              </w:rPr>
              <w:t>- 50 000 (пятьдесят тысяч) рублей за каждый случай нарушения;</w:t>
            </w:r>
          </w:p>
          <w:p>
            <w:pPr>
              <w:pStyle w:val="Normal"/>
              <w:widowControl w:val="false"/>
              <w:spacing w:lineRule="auto" w:line="240"/>
              <w:ind w:hanging="0"/>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55" w:type="dxa"/>
            <w:tcBorders>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pPr>
            <w:r>
              <w:rPr>
                <w:sz w:val="24"/>
                <w:szCs w:val="24"/>
              </w:rPr>
              <w:t xml:space="preserve">3. Нарушение </w:t>
            </w:r>
            <w:r>
              <w:rPr>
                <w:color w:val="000000"/>
                <w:sz w:val="24"/>
                <w:szCs w:val="24"/>
              </w:rPr>
              <w:t>требований охраны труда</w:t>
            </w:r>
          </w:p>
        </w:tc>
        <w:tc>
          <w:tcPr>
            <w:tcW w:w="5691" w:type="dxa"/>
            <w:tcBorders>
              <w:left w:val="single" w:sz="4" w:space="0" w:color="000001"/>
              <w:bottom w:val="single" w:sz="4" w:space="0" w:color="000001"/>
              <w:right w:val="single" w:sz="4" w:space="0" w:color="000001"/>
            </w:tcBorders>
            <w:shd w:color="auto" w:fill="FFFFFF" w:val="clear"/>
          </w:tcPr>
          <w:p>
            <w:pPr>
              <w:pStyle w:val="Normal"/>
              <w:widowControl w:val="false"/>
              <w:spacing w:lineRule="auto" w:line="240"/>
              <w:ind w:hanging="0"/>
              <w:rPr/>
            </w:pPr>
            <w:r>
              <w:rPr>
                <w:sz w:val="24"/>
                <w:szCs w:val="24"/>
              </w:rPr>
              <w:t>100 000 (сто тысяч) рублей за каждый случай нарушения.</w:t>
            </w:r>
          </w:p>
          <w:p>
            <w:pPr>
              <w:pStyle w:val="Normal"/>
              <w:widowControl w:val="false"/>
              <w:spacing w:lineRule="auto" w:line="240"/>
              <w:ind w:hanging="0"/>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Заказчик:</w:t>
            </w:r>
          </w:p>
        </w:tc>
        <w:tc>
          <w:tcPr>
            <w:tcW w:w="4785" w:type="dxa"/>
            <w:tcBorders/>
            <w:shd w:color="auto" w:fill="auto" w:val="clear"/>
          </w:tcPr>
          <w:p>
            <w:pPr>
              <w:pStyle w:val="Normal"/>
              <w:widowControl w:val="false"/>
              <w:spacing w:lineRule="auto" w:line="240"/>
              <w:ind w:hanging="0"/>
              <w:rPr>
                <w:b/>
                <w:b/>
                <w:sz w:val="24"/>
              </w:rPr>
            </w:pPr>
            <w:r>
              <w:rPr>
                <w:b/>
                <w:sz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sz w:val="22"/>
          <w:szCs w:val="22"/>
        </w:rPr>
      </w:pPr>
      <w:r>
        <w:rPr>
          <w:sz w:val="22"/>
          <w:szCs w:val="22"/>
        </w:rPr>
      </w:r>
      <w:r>
        <w:br w:type="page"/>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c>
          <w:tcPr>
            <w:tcW w:w="4785" w:type="dxa"/>
            <w:tcBorders/>
            <w:shd w:color="auto" w:fill="auto" w:val="clear"/>
          </w:tcPr>
          <w:p>
            <w:pPr>
              <w:pStyle w:val="Normal"/>
              <w:pageBreakBefore/>
              <w:widowControl w:val="false"/>
              <w:snapToGrid w:val="false"/>
              <w:spacing w:lineRule="auto" w:line="240"/>
              <w:rPr>
                <w:b/>
                <w:b/>
                <w:bCs/>
                <w:szCs w:val="24"/>
              </w:rPr>
            </w:pPr>
            <w:r>
              <w:rPr>
                <w:b/>
                <w:bCs/>
                <w:szCs w:val="24"/>
              </w:rPr>
            </w:r>
          </w:p>
        </w:tc>
        <w:tc>
          <w:tcPr>
            <w:tcW w:w="4785" w:type="dxa"/>
            <w:tcBorders/>
            <w:shd w:color="auto" w:fill="auto" w:val="clear"/>
          </w:tcPr>
          <w:p>
            <w:pPr>
              <w:pStyle w:val="Normal"/>
              <w:widowControl w:val="false"/>
              <w:shd w:val="clear" w:color="auto" w:fill="FFFFFF"/>
              <w:spacing w:lineRule="auto" w:line="240"/>
              <w:ind w:firstLine="352"/>
              <w:rPr>
                <w:bCs/>
                <w:sz w:val="22"/>
                <w:szCs w:val="22"/>
              </w:rPr>
            </w:pPr>
            <w:r>
              <w:rPr>
                <w:bCs/>
                <w:sz w:val="22"/>
                <w:szCs w:val="22"/>
              </w:rPr>
              <w:t>Приложение № 7</w:t>
            </w:r>
          </w:p>
          <w:p>
            <w:pPr>
              <w:pStyle w:val="Normal"/>
              <w:widowControl w:val="false"/>
              <w:shd w:val="clear" w:color="auto" w:fill="FFFFFF"/>
              <w:spacing w:lineRule="auto" w:line="240"/>
              <w:ind w:firstLine="352"/>
              <w:rPr>
                <w:bCs/>
                <w:sz w:val="22"/>
                <w:szCs w:val="22"/>
              </w:rPr>
            </w:pPr>
            <w:r>
              <w:rPr>
                <w:bCs/>
                <w:sz w:val="22"/>
                <w:szCs w:val="22"/>
              </w:rPr>
              <w:t xml:space="preserve">к Договору подряда </w:t>
            </w:r>
          </w:p>
          <w:p>
            <w:pPr>
              <w:pStyle w:val="Normal"/>
              <w:widowControl w:val="false"/>
              <w:shd w:val="clear" w:color="auto" w:fill="FFFFFF"/>
              <w:spacing w:lineRule="auto" w:line="240"/>
              <w:ind w:firstLine="352"/>
              <w:rPr>
                <w:bCs/>
                <w:sz w:val="22"/>
                <w:szCs w:val="22"/>
              </w:rPr>
            </w:pPr>
            <w:r>
              <w:rPr>
                <w:bCs/>
                <w:sz w:val="22"/>
                <w:szCs w:val="22"/>
              </w:rPr>
              <w:t>от «___» ________20__ г. № ___</w:t>
            </w:r>
          </w:p>
          <w:p>
            <w:pPr>
              <w:pStyle w:val="Normal"/>
              <w:widowControl w:val="false"/>
              <w:snapToGrid w:val="false"/>
              <w:spacing w:lineRule="auto" w:line="240"/>
              <w:rPr>
                <w:b/>
                <w:b/>
                <w:bCs/>
                <w:szCs w:val="24"/>
              </w:rPr>
            </w:pPr>
            <w:r>
              <w:rPr>
                <w:b/>
                <w:bCs/>
                <w:szCs w:val="24"/>
              </w:rPr>
            </w:r>
          </w:p>
        </w:tc>
      </w:tr>
    </w:tbl>
    <w:p>
      <w:pPr>
        <w:pStyle w:val="Normal"/>
        <w:shd w:val="clear" w:color="auto" w:fill="FFFFFF"/>
        <w:spacing w:lineRule="auto" w:line="240"/>
        <w:jc w:val="center"/>
        <w:rPr>
          <w:b/>
          <w:b/>
          <w:bCs/>
          <w:szCs w:val="24"/>
        </w:rPr>
      </w:pPr>
      <w:r>
        <w:rPr>
          <w:b/>
          <w:bCs/>
          <w:szCs w:val="24"/>
        </w:rPr>
        <w:t>Акт сдачи-приемки выполненных работ</w:t>
      </w:r>
    </w:p>
    <w:p>
      <w:pPr>
        <w:pStyle w:val="Normal"/>
        <w:shd w:val="clear" w:color="auto" w:fill="FFFFFF"/>
        <w:spacing w:lineRule="auto" w:line="240"/>
        <w:jc w:val="center"/>
        <w:rPr>
          <w:b/>
          <w:b/>
          <w:bCs/>
          <w:szCs w:val="24"/>
        </w:rPr>
      </w:pPr>
      <w:r>
        <w:rPr>
          <w:b/>
          <w:bCs/>
          <w:szCs w:val="24"/>
        </w:rPr>
        <w:t>(форма)</w:t>
      </w:r>
    </w:p>
    <w:p>
      <w:pPr>
        <w:pStyle w:val="Normal"/>
        <w:shd w:val="clear" w:color="auto" w:fill="FFFFFF"/>
        <w:spacing w:lineRule="auto" w:line="240"/>
        <w:jc w:val="center"/>
        <w:rPr>
          <w:b/>
          <w:b/>
          <w:bCs/>
          <w:szCs w:val="24"/>
        </w:rPr>
      </w:pPr>
      <w:r>
        <w:rPr>
          <w:b/>
          <w:bCs/>
          <w:szCs w:val="24"/>
        </w:rPr>
      </w:r>
    </w:p>
    <w:tbl>
      <w:tblPr>
        <w:tblW w:w="10070" w:type="dxa"/>
        <w:jc w:val="left"/>
        <w:tblInd w:w="-118" w:type="dxa"/>
        <w:tblLayout w:type="fixed"/>
        <w:tblCellMar>
          <w:top w:w="0" w:type="dxa"/>
          <w:left w:w="10" w:type="dxa"/>
          <w:bottom w:w="0" w:type="dxa"/>
          <w:right w:w="10" w:type="dxa"/>
        </w:tblCellMar>
        <w:tblLook w:val="04a0" w:noHBand="0" w:noVBand="1" w:firstColumn="1" w:lastRow="0" w:lastColumn="0" w:firstRow="1"/>
      </w:tblPr>
      <w:tblGrid>
        <w:gridCol w:w="40"/>
        <w:gridCol w:w="10029"/>
      </w:tblGrid>
      <w:tr>
        <w:trPr/>
        <w:tc>
          <w:tcPr>
            <w:tcW w:w="40" w:type="dxa"/>
            <w:tcBorders>
              <w:top w:val="single" w:sz="8" w:space="0" w:color="000001"/>
              <w:left w:val="single" w:sz="8" w:space="0" w:color="000001"/>
              <w:bottom w:val="single" w:sz="8" w:space="0" w:color="000001"/>
              <w:right w:val="single" w:sz="8" w:space="0" w:color="000001"/>
            </w:tcBorders>
            <w:shd w:color="auto" w:fill="auto" w:val="clear"/>
          </w:tcPr>
          <w:p>
            <w:pPr>
              <w:pStyle w:val="Normal"/>
              <w:widowControl w:val="false"/>
              <w:spacing w:lineRule="auto" w:line="240"/>
              <w:jc w:val="center"/>
              <w:rPr>
                <w:b/>
                <w:b/>
                <w:bCs/>
                <w:szCs w:val="24"/>
              </w:rPr>
            </w:pPr>
            <w:r>
              <w:rPr>
                <w:b/>
                <w:bCs/>
                <w:szCs w:val="24"/>
              </w:rPr>
            </w:r>
          </w:p>
        </w:tc>
        <w:tc>
          <w:tcPr>
            <w:tcW w:w="10029" w:type="dxa"/>
            <w:tcBorders>
              <w:top w:val="single" w:sz="8" w:space="0" w:color="000001"/>
              <w:left w:val="single" w:sz="8" w:space="0" w:color="000001"/>
              <w:bottom w:val="single" w:sz="8" w:space="0" w:color="000001"/>
              <w:right w:val="single" w:sz="8" w:space="0" w:color="000001"/>
            </w:tcBorders>
            <w:shd w:color="auto" w:fill="auto" w:val="clear"/>
            <w:tcMar>
              <w:left w:w="78" w:type="dxa"/>
              <w:right w:w="108" w:type="dxa"/>
            </w:tcMar>
          </w:tcPr>
          <w:p>
            <w:pPr>
              <w:pStyle w:val="Normal"/>
              <w:widowControl w:val="false"/>
              <w:spacing w:lineRule="auto" w:line="240"/>
              <w:jc w:val="center"/>
              <w:rPr>
                <w:b/>
                <w:b/>
                <w:bCs/>
                <w:szCs w:val="24"/>
              </w:rPr>
            </w:pPr>
            <w:r>
              <w:rPr>
                <w:b/>
                <w:bCs/>
                <w:szCs w:val="24"/>
              </w:rPr>
            </w:r>
          </w:p>
          <w:p>
            <w:pPr>
              <w:pStyle w:val="Normal"/>
              <w:widowControl w:val="false"/>
              <w:spacing w:lineRule="auto" w:line="240"/>
              <w:jc w:val="center"/>
              <w:rPr>
                <w:b/>
                <w:b/>
                <w:bCs/>
                <w:sz w:val="20"/>
                <w:szCs w:val="20"/>
              </w:rPr>
            </w:pPr>
            <w:r>
              <w:rPr>
                <w:b/>
                <w:bCs/>
                <w:sz w:val="20"/>
                <w:szCs w:val="20"/>
              </w:rPr>
              <w:t>АКТ СДАЧИ-ПРЕМКИ ВЫПОЛНЕННЫХ РАБОТ №  _________</w:t>
            </w:r>
          </w:p>
          <w:tbl>
            <w:tblPr>
              <w:tblW w:w="9735"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185"/>
              <w:gridCol w:w="207"/>
              <w:gridCol w:w="2533"/>
              <w:gridCol w:w="1228"/>
              <w:gridCol w:w="223"/>
              <w:gridCol w:w="577"/>
              <w:gridCol w:w="1373"/>
              <w:gridCol w:w="1310"/>
              <w:gridCol w:w="1097"/>
            </w:tblGrid>
            <w:tr>
              <w:trPr>
                <w:trHeight w:val="255" w:hRule="atLeast"/>
              </w:trPr>
              <w:tc>
                <w:tcPr>
                  <w:tcW w:w="9733" w:type="dxa"/>
                  <w:gridSpan w:val="9"/>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_________202_г.</w:t>
                  </w:r>
                </w:p>
                <w:tbl>
                  <w:tblPr>
                    <w:tblW w:w="9590"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356"/>
                    <w:gridCol w:w="8163"/>
                    <w:gridCol w:w="71"/>
                  </w:tblGrid>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 xml:space="preserve">Заказчик: </w:t>
                        </w:r>
                      </w:p>
                    </w:tc>
                    <w:tc>
                      <w:tcPr>
                        <w:tcW w:w="8163" w:type="dxa"/>
                        <w:tcBorders>
                          <w:bottom w:val="single" w:sz="4" w:space="0" w:color="000001"/>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71" w:type="dxa"/>
                        <w:tcBorders/>
                        <w:shd w:color="auto" w:fill="auto" w:val="clear"/>
                        <w:tcMar>
                          <w:top w:w="0" w:type="dxa"/>
                          <w:left w:w="0" w:type="dxa"/>
                          <w:right w:w="0" w:type="dxa"/>
                        </w:tcMar>
                      </w:tcPr>
                      <w:p>
                        <w:pPr>
                          <w:pStyle w:val="Normal"/>
                          <w:widowControl w:val="false"/>
                          <w:rPr>
                            <w:sz w:val="22"/>
                            <w:szCs w:val="22"/>
                          </w:rPr>
                        </w:pPr>
                        <w:r>
                          <w:rPr>
                            <w:sz w:val="22"/>
                            <w:szCs w:val="22"/>
                          </w:rPr>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1"/>
                        </w:tcBorders>
                        <w:shd w:color="auto"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top w:val="single" w:sz="4" w:space="0" w:color="000001"/>
                          <w:bottom w:val="single" w:sz="4" w:space="0" w:color="000001"/>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shd w:color="auto"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shd w:color="auto"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9"/>
                  <w:tcBorders/>
                  <w:shd w:color="auto" w:fill="auto" w:val="clear"/>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202__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376" w:type="dxa"/>
                  <w:gridSpan w:val="5"/>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357" w:type="dxa"/>
                  <w:gridSpan w:val="4"/>
                  <w:tcBorders/>
                  <w:shd w:color="auto" w:fill="auto" w:val="clear"/>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w:t>
                  </w:r>
                  <w:r>
                    <w:rPr>
                      <w:sz w:val="20"/>
                      <w:szCs w:val="20"/>
                      <w:highlight w:val="lightGray"/>
                    </w:rPr>
                    <w:t>Этап № ______</w:t>
                  </w:r>
                  <w:r>
                    <w:rPr>
                      <w:sz w:val="20"/>
                      <w:szCs w:val="20"/>
                    </w:rPr>
                    <w:t xml:space="preserve"> </w:t>
                  </w:r>
                </w:p>
              </w:tc>
            </w:tr>
            <w:tr>
              <w:trPr>
                <w:cantSplit w:val="true"/>
              </w:trPr>
              <w:tc>
                <w:tcPr>
                  <w:tcW w:w="1185" w:type="dxa"/>
                  <w:tcBorders/>
                  <w:shd w:color="auto" w:fill="auto" w:val="clear"/>
                  <w:tcMar>
                    <w:top w:w="0" w:type="dxa"/>
                    <w:left w:w="0" w:type="dxa"/>
                    <w:right w:w="0" w:type="dxa"/>
                  </w:tcMar>
                </w:tcPr>
                <w:p>
                  <w:pPr>
                    <w:pStyle w:val="Normal"/>
                    <w:widowControl w:val="false"/>
                    <w:snapToGrid w:val="false"/>
                    <w:spacing w:lineRule="auto" w:line="240"/>
                    <w:ind w:hanging="0"/>
                    <w:jc w:val="center"/>
                    <w:rPr>
                      <w:b/>
                      <w:b/>
                      <w:bCs/>
                      <w:sz w:val="20"/>
                      <w:szCs w:val="20"/>
                    </w:rPr>
                  </w:pPr>
                  <w:r>
                    <w:rPr>
                      <w:b/>
                      <w:bCs/>
                      <w:sz w:val="20"/>
                      <w:szCs w:val="20"/>
                    </w:rPr>
                  </w:r>
                </w:p>
              </w:tc>
              <w:tc>
                <w:tcPr>
                  <w:tcW w:w="207" w:type="dxa"/>
                  <w:tcBorders>
                    <w:top w:val="single" w:sz="8" w:space="0" w:color="000001"/>
                    <w:left w:val="single" w:sz="8" w:space="0" w:color="000001"/>
                    <w:bottom w:val="single" w:sz="8" w:space="0" w:color="000001"/>
                    <w:right w:val="single" w:sz="8" w:space="0" w:color="000001"/>
                  </w:tcBorders>
                  <w:shd w:color="auto" w:fill="auto" w:val="clear"/>
                  <w:tcMar>
                    <w:top w:w="0" w:type="dxa"/>
                    <w:left w:w="78" w:type="dxa"/>
                    <w:right w:w="108" w:type="dxa"/>
                  </w:tcMar>
                  <w:vAlign w:val="center"/>
                </w:tcPr>
                <w:p>
                  <w:pPr>
                    <w:pStyle w:val="Normal"/>
                    <w:widowControl w:val="false"/>
                    <w:snapToGrid w:val="false"/>
                    <w:spacing w:lineRule="auto" w:line="240"/>
                    <w:ind w:hanging="0"/>
                    <w:jc w:val="center"/>
                    <w:rPr>
                      <w:b/>
                      <w:b/>
                      <w:bCs/>
                      <w:sz w:val="20"/>
                      <w:szCs w:val="20"/>
                    </w:rPr>
                  </w:pPr>
                  <w:r>
                    <w:rPr>
                      <w:b/>
                      <w:bCs/>
                      <w:sz w:val="20"/>
                      <w:szCs w:val="20"/>
                    </w:rPr>
                    <w:t xml:space="preserve">№ </w:t>
                  </w:r>
                  <w:r>
                    <w:rPr>
                      <w:b/>
                      <w:bCs/>
                      <w:sz w:val="20"/>
                      <w:szCs w:val="20"/>
                    </w:rPr>
                    <w:t>п/п</w:t>
                  </w:r>
                </w:p>
              </w:tc>
              <w:tc>
                <w:tcPr>
                  <w:tcW w:w="2533" w:type="dxa"/>
                  <w:vMerge w:val="restart"/>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napToGrid w:val="false"/>
                    <w:spacing w:lineRule="auto" w:line="240"/>
                    <w:ind w:hanging="0"/>
                    <w:jc w:val="center"/>
                    <w:rPr>
                      <w:b/>
                      <w:b/>
                      <w:bCs/>
                      <w:sz w:val="20"/>
                      <w:szCs w:val="20"/>
                    </w:rPr>
                  </w:pPr>
                  <w:r>
                    <w:rPr>
                      <w:b/>
                      <w:bCs/>
                      <w:sz w:val="20"/>
                      <w:szCs w:val="20"/>
                    </w:rPr>
                    <w:t>Наименование работ</w:t>
                  </w:r>
                </w:p>
              </w:tc>
              <w:tc>
                <w:tcPr>
                  <w:tcW w:w="5808" w:type="dxa"/>
                  <w:gridSpan w:val="6"/>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
                      <w:bCs/>
                      <w:sz w:val="20"/>
                      <w:szCs w:val="20"/>
                    </w:rPr>
                  </w:pPr>
                  <w:r>
                    <w:rPr>
                      <w:b/>
                      <w:bCs/>
                      <w:sz w:val="20"/>
                      <w:szCs w:val="20"/>
                    </w:rPr>
                    <w:t>Выполнено работ</w:t>
                  </w:r>
                </w:p>
              </w:tc>
            </w:tr>
            <w:tr>
              <w:trPr>
                <w:trHeight w:val="693" w:hRule="atLeast"/>
                <w:cantSplit w:val="true"/>
              </w:trPr>
              <w:tc>
                <w:tcPr>
                  <w:tcW w:w="1185" w:type="dxa"/>
                  <w:tcBorders/>
                  <w:shd w:color="auto" w:fill="auto" w:val="clear"/>
                  <w:tcMar>
                    <w:top w:w="0" w:type="dxa"/>
                    <w:left w:w="0" w:type="dxa"/>
                    <w:right w:w="0" w:type="dxa"/>
                  </w:tcMar>
                </w:tcPr>
                <w:p>
                  <w:pPr>
                    <w:pStyle w:val="Normal"/>
                    <w:widowControl w:val="false"/>
                    <w:spacing w:lineRule="auto" w:line="240"/>
                    <w:ind w:hanging="0"/>
                    <w:rPr>
                      <w:b/>
                      <w:b/>
                      <w:bCs/>
                      <w:sz w:val="20"/>
                      <w:szCs w:val="20"/>
                    </w:rPr>
                  </w:pPr>
                  <w:r>
                    <w:rPr>
                      <w:b/>
                      <w:bCs/>
                      <w:sz w:val="20"/>
                      <w:szCs w:val="20"/>
                    </w:rPr>
                  </w:r>
                </w:p>
              </w:tc>
              <w:tc>
                <w:tcPr>
                  <w:tcW w:w="207" w:type="dxa"/>
                  <w:tcBorders>
                    <w:top w:val="single" w:sz="8" w:space="0" w:color="000001"/>
                    <w:left w:val="single" w:sz="8" w:space="0" w:color="000001"/>
                    <w:bottom w:val="single" w:sz="8" w:space="0" w:color="000001"/>
                    <w:right w:val="single" w:sz="8" w:space="0" w:color="000001"/>
                  </w:tcBorders>
                  <w:shd w:color="auto" w:fill="auto" w:val="clear"/>
                  <w:tcMar>
                    <w:top w:w="0" w:type="dxa"/>
                    <w:left w:w="0" w:type="dxa"/>
                    <w:right w:w="0" w:type="dxa"/>
                  </w:tcMar>
                  <w:vAlign w:val="center"/>
                </w:tcPr>
                <w:p>
                  <w:pPr>
                    <w:pStyle w:val="Normal"/>
                    <w:widowControl w:val="false"/>
                    <w:spacing w:lineRule="auto" w:line="240"/>
                    <w:ind w:hanging="0"/>
                    <w:rPr>
                      <w:b/>
                      <w:b/>
                      <w:bCs/>
                      <w:sz w:val="20"/>
                      <w:szCs w:val="20"/>
                    </w:rPr>
                  </w:pPr>
                  <w:r>
                    <w:rPr>
                      <w:b/>
                      <w:bCs/>
                      <w:sz w:val="20"/>
                      <w:szCs w:val="20"/>
                    </w:rPr>
                  </w:r>
                </w:p>
              </w:tc>
              <w:tc>
                <w:tcPr>
                  <w:tcW w:w="2533" w:type="dxa"/>
                  <w:vMerge w:val="continue"/>
                  <w:tcBorders>
                    <w:top w:val="single" w:sz="8" w:space="0" w:color="000001"/>
                    <w:left w:val="single" w:sz="8" w:space="0" w:color="000001"/>
                    <w:bottom w:val="single" w:sz="8" w:space="0" w:color="000001"/>
                    <w:right w:val="single" w:sz="8" w:space="0" w:color="000001"/>
                  </w:tcBorders>
                  <w:shd w:color="auto" w:fill="auto" w:val="clear"/>
                  <w:tcMar>
                    <w:top w:w="0" w:type="dxa"/>
                    <w:left w:w="0" w:type="dxa"/>
                    <w:right w:w="0" w:type="dxa"/>
                  </w:tcMar>
                  <w:vAlign w:val="center"/>
                </w:tcPr>
                <w:p>
                  <w:pPr>
                    <w:pStyle w:val="Normal"/>
                    <w:widowControl w:val="false"/>
                    <w:spacing w:lineRule="auto" w:line="240"/>
                    <w:ind w:hanging="0"/>
                    <w:rPr>
                      <w:b/>
                      <w:b/>
                      <w:bCs/>
                      <w:sz w:val="20"/>
                      <w:szCs w:val="20"/>
                    </w:rPr>
                  </w:pPr>
                  <w:r>
                    <w:rPr>
                      <w:b/>
                      <w:bCs/>
                      <w:sz w:val="20"/>
                      <w:szCs w:val="20"/>
                    </w:rPr>
                  </w:r>
                </w:p>
              </w:tc>
              <w:tc>
                <w:tcPr>
                  <w:tcW w:w="122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pacing w:lineRule="auto" w:line="240"/>
                    <w:ind w:hanging="0"/>
                    <w:jc w:val="center"/>
                    <w:rPr>
                      <w:b/>
                      <w:b/>
                      <w:bCs/>
                      <w:sz w:val="20"/>
                      <w:szCs w:val="20"/>
                    </w:rPr>
                  </w:pPr>
                  <w:r>
                    <w:rPr>
                      <w:b/>
                      <w:bCs/>
                      <w:sz w:val="20"/>
                      <w:szCs w:val="20"/>
                    </w:rPr>
                    <w:t xml:space="preserve">ед. </w:t>
                  </w:r>
                </w:p>
                <w:p>
                  <w:pPr>
                    <w:pStyle w:val="Normal"/>
                    <w:widowControl w:val="false"/>
                    <w:snapToGrid w:val="false"/>
                    <w:spacing w:lineRule="auto" w:line="240"/>
                    <w:ind w:hanging="0"/>
                    <w:jc w:val="center"/>
                    <w:rPr>
                      <w:b/>
                      <w:b/>
                      <w:bCs/>
                      <w:sz w:val="20"/>
                      <w:szCs w:val="20"/>
                    </w:rPr>
                  </w:pPr>
                  <w:r>
                    <w:rPr>
                      <w:b/>
                      <w:bCs/>
                      <w:sz w:val="20"/>
                      <w:szCs w:val="20"/>
                    </w:rPr>
                    <w:t>изм.</w:t>
                  </w:r>
                </w:p>
              </w:tc>
              <w:tc>
                <w:tcPr>
                  <w:tcW w:w="800"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napToGrid w:val="false"/>
                    <w:spacing w:lineRule="auto" w:line="240"/>
                    <w:ind w:hanging="0"/>
                    <w:jc w:val="center"/>
                    <w:rPr>
                      <w:b/>
                      <w:b/>
                      <w:bCs/>
                      <w:sz w:val="20"/>
                      <w:szCs w:val="20"/>
                    </w:rPr>
                  </w:pPr>
                  <w:r>
                    <w:rPr>
                      <w:b/>
                      <w:bCs/>
                      <w:sz w:val="20"/>
                      <w:szCs w:val="20"/>
                    </w:rPr>
                    <w:t>коли-чество</w:t>
                  </w:r>
                </w:p>
              </w:tc>
              <w:tc>
                <w:tcPr>
                  <w:tcW w:w="1373"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pacing w:lineRule="auto" w:line="240"/>
                    <w:ind w:hanging="0"/>
                    <w:jc w:val="center"/>
                    <w:rPr>
                      <w:b/>
                      <w:b/>
                      <w:bCs/>
                      <w:sz w:val="20"/>
                      <w:szCs w:val="20"/>
                    </w:rPr>
                  </w:pPr>
                  <w:r>
                    <w:rPr>
                      <w:b/>
                      <w:bCs/>
                      <w:sz w:val="20"/>
                      <w:szCs w:val="20"/>
                    </w:rPr>
                    <w:t xml:space="preserve">цена за </w:t>
                  </w:r>
                </w:p>
                <w:p>
                  <w:pPr>
                    <w:pStyle w:val="Normal"/>
                    <w:widowControl w:val="false"/>
                    <w:snapToGrid w:val="false"/>
                    <w:spacing w:lineRule="auto" w:line="240"/>
                    <w:ind w:hanging="0"/>
                    <w:jc w:val="center"/>
                    <w:rPr>
                      <w:b/>
                      <w:b/>
                      <w:bCs/>
                      <w:sz w:val="20"/>
                      <w:szCs w:val="20"/>
                    </w:rPr>
                  </w:pPr>
                  <w:r>
                    <w:rPr>
                      <w:b/>
                      <w:bCs/>
                      <w:sz w:val="20"/>
                      <w:szCs w:val="20"/>
                    </w:rPr>
                    <w:t>1 ед., руб.</w:t>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pacing w:lineRule="auto" w:line="240"/>
                    <w:ind w:hanging="0"/>
                    <w:jc w:val="center"/>
                    <w:rPr>
                      <w:b/>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
                      <w:bCs/>
                      <w:sz w:val="20"/>
                      <w:szCs w:val="20"/>
                    </w:rPr>
                  </w:pPr>
                  <w:r>
                    <w:rPr>
                      <w:b/>
                      <w:bCs/>
                      <w:sz w:val="20"/>
                      <w:szCs w:val="20"/>
                    </w:rPr>
                    <w:t>руб.</w:t>
                  </w:r>
                </w:p>
              </w:tc>
              <w:tc>
                <w:tcPr>
                  <w:tcW w:w="1097"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napToGrid w:val="false"/>
                    <w:spacing w:lineRule="auto" w:line="240"/>
                    <w:ind w:hanging="0"/>
                    <w:jc w:val="center"/>
                    <w:rPr>
                      <w:b/>
                      <w:b/>
                      <w:bCs/>
                      <w:sz w:val="20"/>
                      <w:szCs w:val="20"/>
                    </w:rPr>
                  </w:pPr>
                  <w:r>
                    <w:rPr>
                      <w:b/>
                      <w:bCs/>
                      <w:sz w:val="20"/>
                      <w:szCs w:val="20"/>
                    </w:rPr>
                    <w:t>в т.ч. НДС, руб.</w:t>
                  </w:r>
                </w:p>
              </w:tc>
            </w:tr>
            <w:tr>
              <w:trPr/>
              <w:tc>
                <w:tcPr>
                  <w:tcW w:w="1185" w:type="dxa"/>
                  <w:tcBorders/>
                  <w:shd w:color="auto" w:fill="auto" w:val="clear"/>
                  <w:tcMar>
                    <w:top w:w="0" w:type="dxa"/>
                    <w:left w:w="0" w:type="dxa"/>
                    <w:right w:w="0" w:type="dxa"/>
                  </w:tcMar>
                </w:tcPr>
                <w:p>
                  <w:pPr>
                    <w:pStyle w:val="Normal"/>
                    <w:widowControl w:val="false"/>
                    <w:snapToGrid w:val="false"/>
                    <w:spacing w:lineRule="auto" w:line="240"/>
                    <w:ind w:hanging="0"/>
                    <w:jc w:val="center"/>
                    <w:rPr>
                      <w:b/>
                      <w:b/>
                      <w:bCs/>
                      <w:sz w:val="20"/>
                      <w:szCs w:val="20"/>
                    </w:rPr>
                  </w:pPr>
                  <w:r>
                    <w:rPr>
                      <w:b/>
                      <w:bCs/>
                      <w:sz w:val="20"/>
                      <w:szCs w:val="20"/>
                    </w:rPr>
                  </w:r>
                </w:p>
              </w:tc>
              <w:tc>
                <w:tcPr>
                  <w:tcW w:w="207" w:type="dxa"/>
                  <w:tcBorders>
                    <w:top w:val="single" w:sz="8" w:space="0" w:color="000001"/>
                    <w:left w:val="single" w:sz="8" w:space="0" w:color="000001"/>
                    <w:bottom w:val="single" w:sz="8" w:space="0" w:color="000001"/>
                    <w:right w:val="single" w:sz="8" w:space="0" w:color="000001"/>
                  </w:tcBorders>
                  <w:shd w:color="auto"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1</w:t>
                  </w:r>
                </w:p>
              </w:tc>
              <w:tc>
                <w:tcPr>
                  <w:tcW w:w="2533"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
                      <w:bCs/>
                      <w:sz w:val="20"/>
                      <w:szCs w:val="20"/>
                    </w:rPr>
                  </w:pPr>
                  <w:r>
                    <w:rPr>
                      <w:b/>
                      <w:bCs/>
                      <w:sz w:val="20"/>
                      <w:szCs w:val="20"/>
                    </w:rPr>
                    <w:t>2</w:t>
                  </w:r>
                </w:p>
              </w:tc>
              <w:tc>
                <w:tcPr>
                  <w:tcW w:w="122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
                      <w:bCs/>
                      <w:sz w:val="20"/>
                      <w:szCs w:val="20"/>
                    </w:rPr>
                  </w:pPr>
                  <w:r>
                    <w:rPr>
                      <w:b/>
                      <w:bCs/>
                      <w:sz w:val="20"/>
                      <w:szCs w:val="20"/>
                    </w:rPr>
                    <w:t>3</w:t>
                  </w:r>
                </w:p>
              </w:tc>
              <w:tc>
                <w:tcPr>
                  <w:tcW w:w="800"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
                      <w:bCs/>
                      <w:sz w:val="20"/>
                      <w:szCs w:val="20"/>
                    </w:rPr>
                  </w:pPr>
                  <w:r>
                    <w:rPr>
                      <w:b/>
                      <w:bCs/>
                      <w:sz w:val="20"/>
                      <w:szCs w:val="20"/>
                    </w:rPr>
                    <w:t>4</w:t>
                  </w:r>
                </w:p>
              </w:tc>
              <w:tc>
                <w:tcPr>
                  <w:tcW w:w="1373"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
                      <w:bCs/>
                      <w:sz w:val="20"/>
                      <w:szCs w:val="20"/>
                    </w:rPr>
                  </w:pPr>
                  <w:r>
                    <w:rPr>
                      <w:b/>
                      <w:bCs/>
                      <w:sz w:val="20"/>
                      <w:szCs w:val="20"/>
                    </w:rPr>
                    <w:t>5</w:t>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
                      <w:bCs/>
                      <w:sz w:val="20"/>
                      <w:szCs w:val="20"/>
                    </w:rPr>
                  </w:pPr>
                  <w:r>
                    <w:rPr>
                      <w:b/>
                      <w:bCs/>
                      <w:sz w:val="20"/>
                      <w:szCs w:val="20"/>
                    </w:rPr>
                    <w:t>6</w:t>
                  </w:r>
                </w:p>
              </w:tc>
              <w:tc>
                <w:tcPr>
                  <w:tcW w:w="1097"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ind w:hanging="0"/>
                    <w:jc w:val="center"/>
                    <w:rPr>
                      <w:b/>
                      <w:b/>
                      <w:bCs/>
                      <w:sz w:val="20"/>
                      <w:szCs w:val="20"/>
                    </w:rPr>
                  </w:pPr>
                  <w:r>
                    <w:rPr>
                      <w:b/>
                      <w:bCs/>
                      <w:sz w:val="20"/>
                      <w:szCs w:val="20"/>
                    </w:rPr>
                    <w:t>7</w:t>
                  </w:r>
                </w:p>
              </w:tc>
            </w:tr>
            <w:tr>
              <w:trPr/>
              <w:tc>
                <w:tcPr>
                  <w:tcW w:w="1185" w:type="dxa"/>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207" w:type="dxa"/>
                  <w:tcBorders>
                    <w:top w:val="single" w:sz="8" w:space="0" w:color="000001"/>
                    <w:left w:val="single" w:sz="8" w:space="0" w:color="000001"/>
                    <w:bottom w:val="single" w:sz="8" w:space="0" w:color="000001"/>
                    <w:right w:val="single" w:sz="8" w:space="0" w:color="000001"/>
                  </w:tcBorders>
                  <w:shd w:color="auto" w:fill="auto" w:val="clear"/>
                  <w:tcMar>
                    <w:top w:w="0" w:type="dxa"/>
                    <w:left w:w="78" w:type="dxa"/>
                    <w:right w:w="108" w:type="dxa"/>
                  </w:tcMar>
                </w:tcPr>
                <w:p>
                  <w:pPr>
                    <w:pStyle w:val="Normal"/>
                    <w:widowControl w:val="false"/>
                    <w:snapToGrid w:val="false"/>
                    <w:spacing w:lineRule="auto" w:line="240"/>
                    <w:jc w:val="center"/>
                    <w:rPr>
                      <w:sz w:val="20"/>
                      <w:szCs w:val="20"/>
                    </w:rPr>
                  </w:pPr>
                  <w:r>
                    <w:rPr>
                      <w:sz w:val="20"/>
                      <w:szCs w:val="20"/>
                    </w:rPr>
                  </w:r>
                </w:p>
              </w:tc>
              <w:tc>
                <w:tcPr>
                  <w:tcW w:w="2533"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22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800"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73"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097"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r>
              <w:trPr/>
              <w:tc>
                <w:tcPr>
                  <w:tcW w:w="1185" w:type="dxa"/>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207" w:type="dxa"/>
                  <w:tcBorders>
                    <w:top w:val="single" w:sz="8" w:space="0" w:color="000001"/>
                    <w:left w:val="single" w:sz="8" w:space="0" w:color="000001"/>
                    <w:bottom w:val="single" w:sz="8" w:space="0" w:color="000001"/>
                    <w:right w:val="single" w:sz="8" w:space="0" w:color="000001"/>
                  </w:tcBorders>
                  <w:shd w:color="auto" w:fill="auto" w:val="clear"/>
                  <w:tcMar>
                    <w:top w:w="0" w:type="dxa"/>
                    <w:left w:w="78" w:type="dxa"/>
                    <w:right w:w="108" w:type="dxa"/>
                  </w:tcMar>
                </w:tcPr>
                <w:p>
                  <w:pPr>
                    <w:pStyle w:val="Normal"/>
                    <w:widowControl w:val="false"/>
                    <w:snapToGrid w:val="false"/>
                    <w:spacing w:lineRule="auto" w:line="240"/>
                    <w:jc w:val="center"/>
                    <w:rPr>
                      <w:sz w:val="20"/>
                      <w:szCs w:val="20"/>
                    </w:rPr>
                  </w:pPr>
                  <w:r>
                    <w:rPr>
                      <w:sz w:val="20"/>
                      <w:szCs w:val="20"/>
                    </w:rPr>
                  </w:r>
                </w:p>
              </w:tc>
              <w:tc>
                <w:tcPr>
                  <w:tcW w:w="2533"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22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800"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73"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097"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r>
              <w:trPr/>
              <w:tc>
                <w:tcPr>
                  <w:tcW w:w="1185" w:type="dxa"/>
                  <w:tcBorders/>
                  <w:shd w:color="auto"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207" w:type="dxa"/>
                  <w:tcBorders>
                    <w:top w:val="single" w:sz="8" w:space="0" w:color="000001"/>
                    <w:left w:val="single" w:sz="8" w:space="0" w:color="000001"/>
                    <w:bottom w:val="single" w:sz="8" w:space="0" w:color="000001"/>
                    <w:right w:val="single" w:sz="8" w:space="0" w:color="000001"/>
                  </w:tcBorders>
                  <w:shd w:color="auto" w:fill="auto" w:val="clear"/>
                  <w:tcMar>
                    <w:top w:w="0" w:type="dxa"/>
                    <w:left w:w="78" w:type="dxa"/>
                    <w:right w:w="108" w:type="dxa"/>
                  </w:tcMar>
                </w:tcPr>
                <w:p>
                  <w:pPr>
                    <w:pStyle w:val="Normal"/>
                    <w:widowControl w:val="false"/>
                    <w:snapToGrid w:val="false"/>
                    <w:spacing w:lineRule="auto" w:line="240"/>
                    <w:jc w:val="center"/>
                    <w:rPr>
                      <w:sz w:val="20"/>
                      <w:szCs w:val="20"/>
                    </w:rPr>
                  </w:pPr>
                  <w:r>
                    <w:rPr>
                      <w:sz w:val="20"/>
                      <w:szCs w:val="20"/>
                    </w:rPr>
                  </w:r>
                </w:p>
              </w:tc>
              <w:tc>
                <w:tcPr>
                  <w:tcW w:w="2533"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228"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800"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73"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097"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r>
              <w:trPr/>
              <w:tc>
                <w:tcPr>
                  <w:tcW w:w="1185" w:type="dxa"/>
                  <w:tcBorders/>
                  <w:shd w:color="auto" w:fill="auto" w:val="clear"/>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2740" w:type="dxa"/>
                  <w:gridSpan w:val="2"/>
                  <w:tcBorders>
                    <w:top w:val="single" w:sz="8" w:space="0" w:color="000001"/>
                    <w:left w:val="single" w:sz="8" w:space="0" w:color="000001"/>
                    <w:bottom w:val="single" w:sz="8" w:space="0" w:color="000001"/>
                    <w:right w:val="single" w:sz="8" w:space="0" w:color="000001"/>
                  </w:tcBorders>
                  <w:shd w:color="auto"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t xml:space="preserve">Выполнено работ </w:t>
                  </w:r>
                  <w:r>
                    <w:rPr>
                      <w:sz w:val="20"/>
                      <w:szCs w:val="20"/>
                      <w:highlight w:val="lightGray"/>
                    </w:rPr>
                    <w:t>по этапу</w:t>
                  </w:r>
                </w:p>
              </w:tc>
              <w:tc>
                <w:tcPr>
                  <w:tcW w:w="3401" w:type="dxa"/>
                  <w:gridSpan w:val="4"/>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vAlign w:val="center"/>
                </w:tcPr>
                <w:p>
                  <w:pPr>
                    <w:pStyle w:val="Normal"/>
                    <w:widowControl w:val="false"/>
                    <w:snapToGrid w:val="false"/>
                    <w:spacing w:lineRule="auto" w:line="240"/>
                    <w:jc w:val="center"/>
                    <w:rPr>
                      <w:b/>
                      <w:b/>
                      <w:bCs/>
                      <w:sz w:val="20"/>
                      <w:szCs w:val="20"/>
                    </w:rPr>
                  </w:pPr>
                  <w:r>
                    <w:rPr>
                      <w:b/>
                      <w:bCs/>
                      <w:sz w:val="20"/>
                      <w:szCs w:val="20"/>
                    </w:rPr>
                    <w:t>ИТОГО</w:t>
                  </w:r>
                </w:p>
              </w:tc>
              <w:tc>
                <w:tcPr>
                  <w:tcW w:w="1310"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097" w:type="dxa"/>
                  <w:tcBorders>
                    <w:top w:val="single" w:sz="8" w:space="0" w:color="000001"/>
                    <w:left w:val="single" w:sz="8" w:space="0" w:color="000001"/>
                    <w:bottom w:val="single" w:sz="8" w:space="0" w:color="000001"/>
                    <w:right w:val="single" w:sz="8" w:space="0" w:color="000001"/>
                  </w:tcBorders>
                  <w:shd w:color="auto"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1"/>
              <w:gridCol w:w="4049"/>
              <w:gridCol w:w="708"/>
              <w:gridCol w:w="346"/>
              <w:gridCol w:w="4166"/>
            </w:tblGrid>
            <w:tr>
              <w:trPr>
                <w:cantSplit w:val="true"/>
              </w:trPr>
              <w:tc>
                <w:tcPr>
                  <w:tcW w:w="4500" w:type="dxa"/>
                  <w:gridSpan w:val="2"/>
                  <w:tcBorders/>
                  <w:shd w:color="auto" w:fill="auto" w:val="clear"/>
                </w:tcPr>
                <w:p>
                  <w:pPr>
                    <w:pStyle w:val="Normal"/>
                    <w:widowControl w:val="false"/>
                    <w:spacing w:lineRule="auto" w:line="240"/>
                    <w:rPr>
                      <w:sz w:val="20"/>
                      <w:szCs w:val="20"/>
                    </w:rPr>
                  </w:pPr>
                  <w:r>
                    <w:rPr>
                      <w:b/>
                      <w:bCs/>
                      <w:sz w:val="20"/>
                      <w:szCs w:val="20"/>
                    </w:rPr>
                    <w:t>Заказчика:</w:t>
                  </w:r>
                </w:p>
              </w:tc>
              <w:tc>
                <w:tcPr>
                  <w:tcW w:w="708"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512" w:type="dxa"/>
                  <w:gridSpan w:val="2"/>
                  <w:tcBorders/>
                  <w:shd w:color="auto" w:fill="auto" w:val="clear"/>
                </w:tcPr>
                <w:p>
                  <w:pPr>
                    <w:pStyle w:val="Normal"/>
                    <w:widowControl w:val="false"/>
                    <w:spacing w:lineRule="auto" w:line="240"/>
                    <w:rPr>
                      <w:sz w:val="20"/>
                      <w:szCs w:val="20"/>
                    </w:rPr>
                  </w:pPr>
                  <w:r>
                    <w:rPr>
                      <w:b/>
                      <w:bCs/>
                      <w:sz w:val="20"/>
                      <w:szCs w:val="20"/>
                    </w:rPr>
                    <w:t>Подрядчика:</w:t>
                  </w:r>
                </w:p>
              </w:tc>
            </w:tr>
            <w:tr>
              <w:trPr>
                <w:cantSplit w:val="true"/>
              </w:trPr>
              <w:tc>
                <w:tcPr>
                  <w:tcW w:w="4500" w:type="dxa"/>
                  <w:gridSpan w:val="2"/>
                  <w:tcBorders/>
                  <w:shd w:color="auto" w:fill="auto" w:val="clear"/>
                </w:tcPr>
                <w:p>
                  <w:pPr>
                    <w:pStyle w:val="Normal"/>
                    <w:widowControl w:val="false"/>
                    <w:snapToGrid w:val="false"/>
                    <w:spacing w:lineRule="auto" w:line="240"/>
                    <w:rPr>
                      <w:b/>
                      <w:b/>
                      <w:bCs/>
                      <w:sz w:val="20"/>
                      <w:szCs w:val="20"/>
                    </w:rPr>
                  </w:pPr>
                  <w:r>
                    <w:rPr>
                      <w:b/>
                      <w:bCs/>
                      <w:sz w:val="20"/>
                      <w:szCs w:val="20"/>
                    </w:rPr>
                  </w:r>
                </w:p>
              </w:tc>
              <w:tc>
                <w:tcPr>
                  <w:tcW w:w="708"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12" w:type="dxa"/>
                  <w:gridSpan w:val="2"/>
                  <w:tcBorders/>
                  <w:shd w:color="auto" w:fill="auto" w:val="clear"/>
                </w:tcPr>
                <w:p>
                  <w:pPr>
                    <w:pStyle w:val="Normal"/>
                    <w:widowControl w:val="false"/>
                    <w:snapToGrid w:val="false"/>
                    <w:spacing w:lineRule="auto" w:line="240"/>
                    <w:rPr>
                      <w:b/>
                      <w:b/>
                      <w:bCs/>
                      <w:sz w:val="20"/>
                      <w:szCs w:val="20"/>
                    </w:rPr>
                  </w:pPr>
                  <w:r>
                    <w:rPr>
                      <w:b/>
                      <w:bCs/>
                      <w:sz w:val="20"/>
                      <w:szCs w:val="20"/>
                    </w:rPr>
                  </w:r>
                </w:p>
              </w:tc>
            </w:tr>
            <w:tr>
              <w:trPr>
                <w:cantSplit w:val="true"/>
              </w:trPr>
              <w:tc>
                <w:tcPr>
                  <w:tcW w:w="451"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(должность)</w:t>
                  </w:r>
                </w:p>
              </w:tc>
              <w:tc>
                <w:tcPr>
                  <w:tcW w:w="708"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6" w:type="dxa"/>
                  <w:vMerge w:val="restart"/>
                  <w:tcBorders/>
                  <w:shd w:color="auto" w:fill="auto" w:val="clear"/>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c>
                <w:tcPr>
                  <w:tcW w:w="708"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6"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(подпись)</w:t>
                  </w:r>
                </w:p>
              </w:tc>
              <w:tc>
                <w:tcPr>
                  <w:tcW w:w="708"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6"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c>
                <w:tcPr>
                  <w:tcW w:w="708"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6"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color="auto"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08"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6"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color="auto" w:fill="auto" w:val="clear"/>
                </w:tcPr>
                <w:p>
                  <w:pPr>
                    <w:pStyle w:val="Normal"/>
                    <w:widowControl w:val="false"/>
                    <w:snapToGrid w:val="false"/>
                    <w:spacing w:lineRule="auto" w:line="240"/>
                    <w:rPr>
                      <w:sz w:val="20"/>
                      <w:szCs w:val="20"/>
                    </w:rPr>
                  </w:pPr>
                  <w:r>
                    <w:rPr>
                      <w:sz w:val="20"/>
                      <w:szCs w:val="20"/>
                    </w:rPr>
                  </w:r>
                </w:p>
              </w:tc>
              <w:tc>
                <w:tcPr>
                  <w:tcW w:w="708"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6"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color="auto" w:fill="auto" w:val="clear"/>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sz w:val="22"/>
          <w:szCs w:val="22"/>
        </w:rPr>
      </w:pPr>
      <w:r>
        <w:rPr>
          <w:sz w:val="22"/>
          <w:szCs w:val="22"/>
        </w:rPr>
      </w:r>
    </w:p>
    <w:p>
      <w:pPr>
        <w:pStyle w:val="Normal"/>
        <w:spacing w:lineRule="auto" w:line="240"/>
        <w:ind w:left="5103" w:firstLine="567"/>
        <w:rPr>
          <w:sz w:val="22"/>
          <w:szCs w:val="22"/>
        </w:rPr>
      </w:pPr>
      <w:r>
        <w:rPr>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78"/>
        <w:gridCol w:w="4758"/>
      </w:tblGrid>
      <w:tr>
        <w:trPr/>
        <w:tc>
          <w:tcPr>
            <w:tcW w:w="4878" w:type="dxa"/>
            <w:tcBorders/>
            <w:shd w:color="auto" w:fill="auto" w:val="clear"/>
          </w:tcPr>
          <w:p>
            <w:pPr>
              <w:pStyle w:val="Normal"/>
              <w:widowControl w:val="false"/>
              <w:spacing w:lineRule="auto" w:line="240"/>
              <w:rPr>
                <w:b/>
                <w:b/>
                <w:sz w:val="24"/>
                <w:szCs w:val="24"/>
                <w:lang w:val="en-US"/>
              </w:rPr>
            </w:pPr>
            <w:r>
              <w:rPr>
                <w:b/>
                <w:sz w:val="24"/>
                <w:szCs w:val="24"/>
              </w:rPr>
              <w:t>Заказчик</w:t>
            </w:r>
            <w:r>
              <w:rPr>
                <w:b/>
                <w:sz w:val="24"/>
                <w:szCs w:val="24"/>
                <w:lang w:val="en-US"/>
              </w:rPr>
              <w:t>:</w:t>
            </w:r>
          </w:p>
          <w:p>
            <w:pPr>
              <w:pStyle w:val="Normal"/>
              <w:widowControl w:val="false"/>
              <w:spacing w:lineRule="auto" w:line="240"/>
              <w:rPr>
                <w:b/>
                <w:b/>
                <w:sz w:val="24"/>
                <w:szCs w:val="24"/>
              </w:rPr>
            </w:pPr>
            <w:r>
              <w:rPr>
                <w:b/>
                <w:sz w:val="24"/>
                <w:szCs w:val="24"/>
              </w:rPr>
            </w:r>
          </w:p>
          <w:p>
            <w:pPr>
              <w:pStyle w:val="Normal"/>
              <w:widowControl w:val="false"/>
              <w:spacing w:lineRule="auto" w:line="240"/>
              <w:ind w:firstLine="34"/>
              <w:rPr>
                <w:b/>
                <w:b/>
                <w:sz w:val="24"/>
                <w:szCs w:val="24"/>
              </w:rPr>
            </w:pPr>
            <w:r>
              <w:rPr>
                <w:b/>
                <w:sz w:val="24"/>
                <w:szCs w:val="24"/>
              </w:rPr>
              <w:t>__________/____________________________</w:t>
            </w:r>
          </w:p>
        </w:tc>
        <w:tc>
          <w:tcPr>
            <w:tcW w:w="4758" w:type="dxa"/>
            <w:tcBorders/>
            <w:shd w:color="auto" w:fill="auto" w:val="clear"/>
          </w:tcPr>
          <w:p>
            <w:pPr>
              <w:pStyle w:val="Normal"/>
              <w:widowControl w:val="false"/>
              <w:spacing w:lineRule="auto" w:line="240"/>
              <w:rPr>
                <w:b/>
                <w:b/>
                <w:sz w:val="24"/>
                <w:szCs w:val="24"/>
              </w:rPr>
            </w:pPr>
            <w:r>
              <w:rPr>
                <w:b/>
                <w:sz w:val="24"/>
                <w:szCs w:val="24"/>
              </w:rPr>
              <w:t>Подрядчик:</w:t>
            </w:r>
          </w:p>
          <w:p>
            <w:pPr>
              <w:pStyle w:val="Normal"/>
              <w:widowControl w:val="false"/>
              <w:spacing w:lineRule="auto" w:line="240"/>
              <w:rPr>
                <w:b/>
                <w:b/>
                <w:sz w:val="24"/>
                <w:szCs w:val="24"/>
              </w:rPr>
            </w:pPr>
            <w:r>
              <w:rPr>
                <w:b/>
                <w:sz w:val="24"/>
                <w:szCs w:val="24"/>
              </w:rPr>
            </w:r>
          </w:p>
          <w:p>
            <w:pPr>
              <w:pStyle w:val="Normal"/>
              <w:widowControl w:val="false"/>
              <w:spacing w:lineRule="auto" w:line="240"/>
              <w:ind w:hanging="0"/>
              <w:rPr>
                <w:b/>
                <w:b/>
                <w:sz w:val="24"/>
                <w:szCs w:val="24"/>
              </w:rPr>
            </w:pPr>
            <w:r>
              <w:rPr>
                <w:b/>
                <w:sz w:val="24"/>
                <w:szCs w:val="24"/>
              </w:rPr>
              <w:t>_______________/________</w:t>
            </w:r>
          </w:p>
          <w:p>
            <w:pPr>
              <w:pStyle w:val="Normal"/>
              <w:widowControl w:val="false"/>
              <w:spacing w:lineRule="auto" w:line="240"/>
              <w:ind w:hanging="0"/>
              <w:rPr>
                <w:b/>
                <w:b/>
                <w:sz w:val="24"/>
                <w:szCs w:val="24"/>
              </w:rPr>
            </w:pPr>
            <w:r>
              <w:rPr>
                <w:b/>
                <w:sz w:val="24"/>
                <w:szCs w:val="24"/>
              </w:rPr>
              <w:t>______________</w:t>
            </w:r>
          </w:p>
        </w:tc>
      </w:tr>
    </w:tbl>
    <w:p>
      <w:pPr>
        <w:sectPr>
          <w:headerReference w:type="default" r:id="rId8"/>
          <w:footerReference w:type="default" r:id="rId9"/>
          <w:footnotePr>
            <w:numFmt w:val="decimal"/>
          </w:footnotePr>
          <w:type w:val="nextPage"/>
          <w:pgSz w:w="11906" w:h="16838"/>
          <w:pgMar w:left="1418" w:right="851" w:header="567" w:top="1134" w:footer="284" w:bottom="1134" w:gutter="0"/>
          <w:pgNumType w:fmt="decimal"/>
          <w:formProt w:val="false"/>
          <w:textDirection w:val="lrTb"/>
          <w:docGrid w:type="default" w:linePitch="360" w:charSpace="0"/>
        </w:sectPr>
      </w:pPr>
    </w:p>
    <w:p>
      <w:pPr>
        <w:pStyle w:val="Normal"/>
        <w:shd w:val="clear" w:color="auto" w:fill="FFFFFF"/>
        <w:spacing w:lineRule="auto" w:line="240"/>
        <w:ind w:left="3119" w:firstLine="1984"/>
        <w:rPr>
          <w:bCs/>
          <w:sz w:val="22"/>
          <w:szCs w:val="22"/>
        </w:rPr>
      </w:pPr>
      <w:bookmarkStart w:id="41" w:name="RANGE!A1%25252525252525252525253AAG40"/>
      <w:bookmarkStart w:id="42" w:name="RANGE!A1%25252525252525252525253AAG42"/>
      <w:bookmarkEnd w:id="41"/>
      <w:bookmarkEnd w:id="42"/>
      <w:r>
        <w:rPr>
          <w:bCs/>
          <w:sz w:val="22"/>
          <w:szCs w:val="22"/>
        </w:rPr>
        <w:t>Приложение № 8</w:t>
      </w:r>
    </w:p>
    <w:p>
      <w:pPr>
        <w:pStyle w:val="Normal"/>
        <w:shd w:val="clear" w:color="auto" w:fill="FFFFFF"/>
        <w:spacing w:lineRule="auto" w:line="240"/>
        <w:ind w:left="3119" w:firstLine="1984"/>
        <w:rPr>
          <w:bCs/>
          <w:sz w:val="22"/>
          <w:szCs w:val="22"/>
        </w:rPr>
      </w:pPr>
      <w:r>
        <w:rPr>
          <w:bCs/>
          <w:sz w:val="22"/>
          <w:szCs w:val="22"/>
        </w:rPr>
        <w:t xml:space="preserve">к Договору подряда </w:t>
      </w:r>
    </w:p>
    <w:p>
      <w:pPr>
        <w:pStyle w:val="Normal"/>
        <w:shd w:val="clear" w:color="auto" w:fill="FFFFFF"/>
        <w:spacing w:lineRule="auto" w:line="240"/>
        <w:ind w:left="3119" w:firstLine="1984"/>
        <w:rPr>
          <w:bCs/>
          <w:sz w:val="22"/>
          <w:szCs w:val="22"/>
        </w:rPr>
      </w:pPr>
      <w:r>
        <w:rPr>
          <w:bCs/>
          <w:sz w:val="22"/>
          <w:szCs w:val="22"/>
        </w:rPr>
        <w:t>от «___» ________20__ г. № ___</w:t>
      </w:r>
    </w:p>
    <w:p>
      <w:pPr>
        <w:pStyle w:val="Normal"/>
        <w:shd w:val="clear" w:color="auto" w:fill="FFFFFF"/>
        <w:spacing w:lineRule="auto" w:line="240"/>
        <w:ind w:left="3119" w:firstLine="2551"/>
        <w:rPr>
          <w:bCs/>
          <w:sz w:val="22"/>
          <w:szCs w:val="22"/>
        </w:rPr>
      </w:pPr>
      <w:r>
        <w:rPr>
          <w:bCs/>
          <w:sz w:val="22"/>
          <w:szCs w:val="22"/>
        </w:rPr>
      </w:r>
    </w:p>
    <w:p>
      <w:pPr>
        <w:pStyle w:val="Normal"/>
        <w:spacing w:lineRule="auto" w:line="240"/>
        <w:jc w:val="center"/>
        <w:rPr>
          <w:b/>
          <w:b/>
          <w:sz w:val="24"/>
          <w:szCs w:val="24"/>
        </w:rPr>
      </w:pPr>
      <w:r>
        <w:rPr>
          <w:b/>
          <w:sz w:val="24"/>
          <w:szCs w:val="24"/>
        </w:rPr>
        <w:t>Критерии отбора Банков-Гарантов</w:t>
      </w:r>
    </w:p>
    <w:p>
      <w:pPr>
        <w:pStyle w:val="Normal"/>
        <w:spacing w:lineRule="auto" w:line="240"/>
        <w:ind w:firstLine="709"/>
        <w:rPr>
          <w:rFonts w:eastAsia="TimesNewRomanPS-BoldMT"/>
          <w:sz w:val="24"/>
          <w:szCs w:val="24"/>
        </w:rPr>
      </w:pPr>
      <w:r>
        <w:rPr>
          <w:rFonts w:eastAsia="TimesNewRomanPS-BoldMT"/>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Style12"/>
          <w:rFonts w:eastAsia="TimesNewRomanPS-BoldMT"/>
          <w:sz w:val="24"/>
          <w:szCs w:val="24"/>
        </w:rPr>
        <w:footnoteReference w:id="14"/>
      </w:r>
      <w:r>
        <w:rPr>
          <w:rFonts w:eastAsia="TimesNewRomanPS-BoldMT"/>
          <w:sz w:val="24"/>
          <w:szCs w:val="24"/>
        </w:rPr>
        <w:t>, а также соответствовать следующим критериям:</w:t>
      </w:r>
    </w:p>
    <w:p>
      <w:pPr>
        <w:pStyle w:val="2"/>
        <w:widowControl w:val="false"/>
        <w:numPr>
          <w:ilvl w:val="0"/>
          <w:numId w:val="21"/>
        </w:numPr>
        <w:spacing w:lineRule="auto" w:line="240" w:before="0" w:after="0"/>
        <w:ind w:left="0" w:firstLine="709"/>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 ФЗ).</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3. 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4. 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Characters"/>
          <w:rFonts w:eastAsia="TimesNewRomanPS-BoldMT" w:ascii="Times New Roman" w:hAnsi="Times New Roman"/>
          <w:i w:val="false"/>
          <w:sz w:val="24"/>
          <w:szCs w:val="24"/>
          <w:lang w:eastAsia="en-US"/>
        </w:rPr>
        <w:t xml:space="preserve"> </w:t>
      </w:r>
      <w:r>
        <w:rPr>
          <w:rStyle w:val="Style12"/>
          <w:rFonts w:eastAsia="TimesNewRomanPS-BoldMT" w:ascii="Times New Roman" w:hAnsi="Times New Roman"/>
          <w:i w:val="false"/>
          <w:sz w:val="24"/>
          <w:szCs w:val="24"/>
          <w:lang w:eastAsia="en-US"/>
        </w:rPr>
        <w:footnoteReference w:id="15"/>
      </w:r>
      <w:r>
        <w:rPr>
          <w:rFonts w:eastAsia="TimesNewRomanPS-BoldMT" w:ascii="Times New Roman" w:hAnsi="Times New Roman"/>
          <w:b w:val="false"/>
          <w:bCs w:val="false"/>
          <w:i w:val="false"/>
          <w:iCs w:val="false"/>
          <w:sz w:val="24"/>
          <w:szCs w:val="24"/>
          <w:lang w:eastAsia="en-US"/>
        </w:rPr>
        <w:t>.</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Characters"/>
          <w:rFonts w:eastAsia="TimesNewRomanPS-BoldMT" w:ascii="Times New Roman" w:hAnsi="Times New Roman"/>
          <w:b w:val="false"/>
          <w:i w:val="false"/>
          <w:sz w:val="24"/>
          <w:szCs w:val="24"/>
          <w:lang w:eastAsia="en-US"/>
        </w:rPr>
        <w:t xml:space="preserve"> </w:t>
      </w:r>
      <w:r>
        <w:rPr>
          <w:rStyle w:val="Style12"/>
          <w:rFonts w:eastAsia="TimesNewRomanPS-BoldMT" w:ascii="Times New Roman" w:hAnsi="Times New Roman"/>
          <w:b w:val="false"/>
          <w:i w:val="false"/>
          <w:sz w:val="24"/>
          <w:szCs w:val="24"/>
          <w:lang w:eastAsia="en-US"/>
        </w:rPr>
        <w:footnoteReference w:id="16"/>
      </w:r>
      <w:r>
        <w:rPr>
          <w:rFonts w:eastAsia="TimesNewRomanPS-BoldMT" w:ascii="Times New Roman" w:hAnsi="Times New Roman"/>
          <w:b w:val="false"/>
          <w:bCs w:val="false"/>
          <w:i w:val="false"/>
          <w:iCs w:val="false"/>
          <w:sz w:val="24"/>
          <w:szCs w:val="24"/>
          <w:lang w:eastAsia="en-US"/>
        </w:rPr>
        <w:t>.</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6. 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7. Не иметь просроченную задолженность перед Обществом и компаниями Группы РусГидро.</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 Требования, установленные пунктами 2 – 4 настоящих Критериев, не распространяются на кредитные организации:</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8.4. ВЭБ.РФ.</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9.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2"/>
        <w:widowControl w:val="false"/>
        <w:spacing w:lineRule="auto" w:line="240" w:before="0" w:after="0"/>
        <w:jc w:val="center"/>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LimAi = ri × СKi,</w:t>
      </w:r>
      <w:r>
        <w:rPr>
          <w:rFonts w:eastAsia="TimesNewRomanPS-BoldMT" w:ascii="Times New Roman" w:hAnsi="Times New Roman"/>
          <w:b w:val="false"/>
          <w:bCs w:val="false"/>
          <w:i w:val="false"/>
          <w:iCs w:val="false"/>
          <w:sz w:val="24"/>
          <w:szCs w:val="24"/>
          <w:lang w:eastAsia="en-US"/>
        </w:rPr>
        <w:t xml:space="preserve"> где</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LimAi</w:t>
      </w:r>
      <w:r>
        <w:rPr>
          <w:rFonts w:eastAsia="TimesNewRomanPS-BoldMT" w:ascii="Times New Roman" w:hAnsi="Times New Roman"/>
          <w:b w:val="false"/>
          <w:bCs w:val="false"/>
          <w:i w:val="false"/>
          <w:iCs w:val="false"/>
          <w:sz w:val="24"/>
          <w:szCs w:val="24"/>
          <w:lang w:eastAsia="en-US"/>
        </w:rPr>
        <w:t xml:space="preserve"> - Лимит риска для i-ой кредитной организации</w:t>
      </w:r>
      <w:r>
        <w:rPr>
          <w:rStyle w:val="Style12"/>
          <w:rFonts w:eastAsia="TimesNewRomanPS-BoldMT" w:ascii="Times New Roman" w:hAnsi="Times New Roman"/>
          <w:b w:val="false"/>
          <w:bCs w:val="false"/>
          <w:i w:val="false"/>
          <w:iCs w:val="false"/>
          <w:sz w:val="24"/>
          <w:szCs w:val="24"/>
          <w:lang w:eastAsia="en-US"/>
        </w:rPr>
        <w:footnoteReference w:id="17"/>
      </w:r>
      <w:r>
        <w:rPr>
          <w:rFonts w:eastAsia="TimesNewRomanPS-BoldMT" w:ascii="Times New Roman" w:hAnsi="Times New Roman"/>
          <w:b w:val="false"/>
          <w:bCs w:val="false"/>
          <w:i w:val="false"/>
          <w:iCs w:val="false"/>
          <w:sz w:val="24"/>
          <w:szCs w:val="24"/>
          <w:lang w:eastAsia="en-US"/>
        </w:rPr>
        <w:t>.</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СKi</w:t>
      </w:r>
      <w:r>
        <w:rPr>
          <w:rFonts w:eastAsia="TimesNewRomanPS-BoldMT" w:ascii="Times New Roman" w:hAnsi="Times New Roman"/>
          <w:b w:val="false"/>
          <w:bCs w:val="false"/>
          <w:i w:val="false"/>
          <w:iCs w:val="false"/>
          <w:sz w:val="24"/>
          <w:szCs w:val="24"/>
          <w:lang w:eastAsia="en-US"/>
        </w:rPr>
        <w:t xml:space="preserve"> - 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 xml:space="preserve">ri </w:t>
      </w:r>
      <w:r>
        <w:rPr>
          <w:rFonts w:eastAsia="TimesNewRomanPS-BoldMT" w:ascii="Times New Roman" w:hAnsi="Times New Roman"/>
          <w:b w:val="false"/>
          <w:bCs w:val="false"/>
          <w:i w:val="false"/>
          <w:iCs w:val="false"/>
          <w:sz w:val="24"/>
          <w:szCs w:val="24"/>
          <w:lang w:eastAsia="en-US"/>
        </w:rPr>
        <w:t>- рейтинговый коэффициент</w:t>
      </w:r>
      <w:r>
        <w:rPr>
          <w:rStyle w:val="Style12"/>
          <w:rFonts w:eastAsia="TimesNewRomanPS-BoldMT" w:ascii="Times New Roman" w:hAnsi="Times New Roman"/>
          <w:b w:val="false"/>
          <w:bCs w:val="false"/>
          <w:i w:val="false"/>
          <w:iCs w:val="false"/>
          <w:sz w:val="24"/>
          <w:szCs w:val="24"/>
          <w:lang w:eastAsia="en-US"/>
        </w:rPr>
        <w:footnoteReference w:id="18"/>
      </w:r>
      <w:r>
        <w:rPr>
          <w:rFonts w:eastAsia="TimesNewRomanPS-BoldMT" w:ascii="Times New Roman" w:hAnsi="Times New Roman"/>
          <w:b w:val="false"/>
          <w:bCs w:val="false"/>
          <w:i w:val="false"/>
          <w:iCs w:val="false"/>
          <w:sz w:val="24"/>
          <w:szCs w:val="24"/>
          <w:lang w:eastAsia="en-US"/>
        </w:rPr>
        <w:t xml:space="preserve"> для i-ой кредитной организации, равный:</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0,05</w:t>
      </w:r>
      <w:r>
        <w:rPr>
          <w:rFonts w:eastAsia="TimesNewRomanPS-BoldMT" w:ascii="Times New Roman" w:hAnsi="Times New Roman"/>
          <w:b w:val="false"/>
          <w:bCs w:val="false"/>
          <w:i w:val="false"/>
          <w:iCs w:val="false"/>
          <w:sz w:val="24"/>
          <w:szCs w:val="24"/>
          <w:lang w:eastAsia="en-US"/>
        </w:rPr>
        <w:t xml:space="preserve"> - если i-ая кредитная организация имеет национальный рейтинг кредитоспособности не ниже уровня «</w:t>
      </w:r>
      <w:r>
        <w:rPr>
          <w:rFonts w:eastAsia="TimesNewRomanPS-BoldMT" w:ascii="Times New Roman" w:hAnsi="Times New Roman"/>
          <w:bCs w:val="false"/>
          <w:i w:val="false"/>
          <w:iCs w:val="false"/>
          <w:sz w:val="24"/>
          <w:szCs w:val="24"/>
          <w:lang w:eastAsia="en-US"/>
        </w:rPr>
        <w:t>АА-</w:t>
      </w:r>
      <w:r>
        <w:rPr>
          <w:rFonts w:eastAsia="TimesNewRomanPS-BoldMT" w:ascii="Times New Roman" w:hAnsi="Times New Roman"/>
          <w:b w:val="false"/>
          <w:bCs w:val="false"/>
          <w:i w:val="false"/>
          <w:iCs w:val="false"/>
          <w:sz w:val="24"/>
          <w:szCs w:val="24"/>
          <w:lang w:eastAsia="en-US"/>
        </w:rPr>
        <w:t>» по классификации рейтингового агентства АКРА или не ниже уровня «ruАA-» по классификации рейтингового агентства Эксперт РА;</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0,025</w:t>
      </w:r>
      <w:r>
        <w:rPr>
          <w:rFonts w:eastAsia="TimesNewRomanPS-BoldMT" w:ascii="Times New Roman" w:hAnsi="Times New Roman"/>
          <w:b w:val="false"/>
          <w:bCs w:val="false"/>
          <w:i w:val="false"/>
          <w:iCs w:val="false"/>
          <w:sz w:val="24"/>
          <w:szCs w:val="24"/>
          <w:lang w:eastAsia="en-US"/>
        </w:rPr>
        <w:t xml:space="preserve"> - если i-ая кредитная организация имеет национальный рейтинг кредитоспособности не ниже уровня «</w:t>
      </w:r>
      <w:r>
        <w:rPr>
          <w:rFonts w:eastAsia="TimesNewRomanPS-BoldMT" w:ascii="Times New Roman" w:hAnsi="Times New Roman"/>
          <w:bCs w:val="false"/>
          <w:i w:val="false"/>
          <w:iCs w:val="false"/>
          <w:sz w:val="24"/>
          <w:szCs w:val="24"/>
          <w:lang w:eastAsia="en-US"/>
        </w:rPr>
        <w:t>А-</w:t>
      </w:r>
      <w:r>
        <w:rPr>
          <w:rFonts w:eastAsia="TimesNewRomanPS-BoldMT" w:ascii="Times New Roman" w:hAnsi="Times New Roman"/>
          <w:b w:val="false"/>
          <w:bCs w:val="false"/>
          <w:i w:val="false"/>
          <w:iCs w:val="false"/>
          <w:sz w:val="24"/>
          <w:szCs w:val="24"/>
          <w:lang w:eastAsia="en-US"/>
        </w:rPr>
        <w:t>» по классификации рейтингового агентства АКРА или не ниже уровня «ruA-» по классификации рейтингового агентства Эксперт РА;</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0,015</w:t>
      </w:r>
      <w:r>
        <w:rPr>
          <w:rFonts w:eastAsia="TimesNewRomanPS-BoldMT" w:ascii="Times New Roman" w:hAnsi="Times New Roman"/>
          <w:b w:val="false"/>
          <w:bCs w:val="false"/>
          <w:i w:val="false"/>
          <w:iCs w:val="false"/>
          <w:sz w:val="24"/>
          <w:szCs w:val="24"/>
          <w:lang w:eastAsia="en-US"/>
        </w:rPr>
        <w:t xml:space="preserve"> - если i-ая кредитная организация имеет национальный рейтинг кредитоспособности не ниже уровня «</w:t>
      </w:r>
      <w:r>
        <w:rPr>
          <w:rFonts w:eastAsia="TimesNewRomanPS-BoldMT" w:ascii="Times New Roman" w:hAnsi="Times New Roman"/>
          <w:bCs w:val="false"/>
          <w:i w:val="false"/>
          <w:iCs w:val="false"/>
          <w:sz w:val="24"/>
          <w:szCs w:val="24"/>
          <w:lang w:eastAsia="en-US"/>
        </w:rPr>
        <w:t>BBВ</w:t>
      </w:r>
      <w:r>
        <w:rPr>
          <w:rFonts w:eastAsia="TimesNewRomanPS-BoldMT" w:ascii="Times New Roman" w:hAnsi="Times New Roman"/>
          <w:b w:val="false"/>
          <w:bCs w:val="false"/>
          <w:i w:val="false"/>
          <w:iCs w:val="false"/>
          <w:sz w:val="24"/>
          <w:szCs w:val="24"/>
          <w:lang w:eastAsia="en-US"/>
        </w:rPr>
        <w:t>» по классификации рейтингового агентства АКРА или не ниже уровня «ruBBВ» по классификации рейтингового агентства Эксперт РА, а также находится в процессе финансового оздоровления (санации).</w:t>
      </w:r>
    </w:p>
    <w:p>
      <w:pPr>
        <w:pStyle w:val="Normal"/>
        <w:keepNext w:val="true"/>
        <w:keepLines/>
        <w:spacing w:lineRule="auto" w:line="240" w:before="0" w:after="0"/>
        <w:ind w:left="720" w:firstLine="567"/>
        <w:contextualSpacing/>
        <w:rPr>
          <w:color w:val="000000"/>
          <w:sz w:val="24"/>
          <w:szCs w:val="24"/>
          <w:lang w:val="x-none"/>
        </w:rPr>
      </w:pPr>
      <w:r>
        <w:rPr>
          <w:color w:val="000000"/>
          <w:sz w:val="24"/>
          <w:szCs w:val="24"/>
          <w:lang w:val="x-none"/>
        </w:rPr>
      </w:r>
    </w:p>
    <w:p>
      <w:pPr>
        <w:pStyle w:val="Normal"/>
        <w:keepNext w:val="true"/>
        <w:keepLines/>
        <w:tabs>
          <w:tab w:val="clear" w:pos="720"/>
          <w:tab w:val="left" w:pos="3360" w:leader="none"/>
        </w:tabs>
        <w:spacing w:lineRule="auto" w:line="240"/>
        <w:jc w:val="center"/>
        <w:rPr>
          <w:b/>
          <w:b/>
          <w:sz w:val="24"/>
          <w:szCs w:val="24"/>
        </w:rPr>
      </w:pPr>
      <w:r>
        <w:rPr>
          <w:b/>
          <w:sz w:val="24"/>
          <w:szCs w:val="24"/>
        </w:rPr>
        <w:t>Подписи Сторон:</w:t>
      </w:r>
    </w:p>
    <w:sectPr>
      <w:headerReference w:type="default" r:id="rId10"/>
      <w:footerReference w:type="default" r:id="rId11"/>
      <w:footnotePr>
        <w:numFmt w:val="decimal"/>
      </w:footnotePr>
      <w:type w:val="nextPage"/>
      <w:pgSz w:w="11906" w:h="16838"/>
      <w:pgMar w:left="1418" w:right="851" w:header="567" w:top="1134" w:footer="284"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6"/>
        <w:jc w:val="both"/>
        <w:rPr/>
      </w:pPr>
      <w:r>
        <w:rPr>
          <w:rStyle w:val="Style11"/>
        </w:rPr>
        <w:footnoteRef/>
      </w:r>
      <w:r>
        <w:rPr>
          <w:rStyle w:val="Style11"/>
        </w:rPr>
        <w:tab/>
      </w:r>
      <w:r>
        <w:rPr/>
        <w:t xml:space="preserve"> Необходимость участия Подрядчика в конкретном СРО определяется в зависимости от состава Работ, выполняемых по Договору.</w:t>
      </w:r>
    </w:p>
  </w:footnote>
  <w:footnote w:id="3">
    <w:p>
      <w:pPr>
        <w:pStyle w:val="Style36"/>
        <w:jc w:val="both"/>
        <w:rPr/>
      </w:pPr>
      <w:r>
        <w:rPr>
          <w:rStyle w:val="Style11"/>
        </w:rPr>
        <w:footnoteRef/>
      </w:r>
      <w:r>
        <w:rPr>
          <w:rStyle w:val="Style11"/>
        </w:rPr>
        <w:tab/>
      </w:r>
      <w:r>
        <w:rPr/>
        <w:t xml:space="preserve"> Не требуется членство в СРО контрагентов по договорам на проведение инженерных изысканий, разработку проектной документации в следующих случаях:</w:t>
      </w:r>
    </w:p>
    <w:p>
      <w:pPr>
        <w:pStyle w:val="Style36"/>
        <w:tabs>
          <w:tab w:val="clear" w:pos="720"/>
          <w:tab w:val="left" w:pos="284" w:leader="none"/>
        </w:tabs>
        <w:jc w:val="both"/>
        <w:rPr/>
      </w:pPr>
      <w:r>
        <w:rPr/>
        <w:tab/>
        <w:t>-при выполнении работ в отношении строительства, реконструкции, не являющихся объектами капитального строительства;</w:t>
      </w:r>
    </w:p>
    <w:p>
      <w:pPr>
        <w:pStyle w:val="Style36"/>
        <w:tabs>
          <w:tab w:val="clear" w:pos="720"/>
          <w:tab w:val="left" w:pos="284" w:leader="none"/>
        </w:tabs>
        <w:jc w:val="both"/>
        <w:rPr/>
      </w:pPr>
      <w:r>
        <w:rPr/>
        <w:tab/>
        <w:t>-</w:t>
        <w:tab/>
        <w:t>при выполнении работ в отношении строительства, реконструкции на земельном участке строений и сооружений вспомогательного использования;</w:t>
      </w:r>
    </w:p>
    <w:p>
      <w:pPr>
        <w:pStyle w:val="Style36"/>
        <w:tabs>
          <w:tab w:val="clear" w:pos="720"/>
          <w:tab w:val="left" w:pos="284" w:leader="none"/>
        </w:tabs>
        <w:jc w:val="both"/>
        <w:rPr/>
      </w:pPr>
      <w:r>
        <w:rPr/>
        <w:tab/>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4">
    <w:p>
      <w:pPr>
        <w:pStyle w:val="Style36"/>
        <w:jc w:val="both"/>
        <w:rPr/>
      </w:pPr>
      <w:r>
        <w:rPr>
          <w:rStyle w:val="Style11"/>
        </w:rPr>
        <w:footnoteRef/>
      </w:r>
      <w:r>
        <w:rPr>
          <w:rStyle w:val="Style11"/>
        </w:rPr>
        <w:tab/>
      </w:r>
      <w:r>
        <w:rPr/>
        <w:t xml:space="preserve"> Пункт включается в Договор в случае, если к Договору прикладывается полный комплект сметной документации.</w:t>
      </w:r>
    </w:p>
  </w:footnote>
  <w:footnote w:id="5">
    <w:p>
      <w:pPr>
        <w:pStyle w:val="Style36"/>
        <w:jc w:val="both"/>
        <w:rPr/>
      </w:pPr>
      <w:r>
        <w:rPr>
          <w:rStyle w:val="Style11"/>
        </w:rPr>
        <w:footnoteRef/>
      </w:r>
      <w:r>
        <w:rPr>
          <w:rStyle w:val="Style11"/>
        </w:rPr>
        <w:tab/>
      </w:r>
      <w:r>
        <w:rPr/>
        <w:t xml:space="preserve"> </w:t>
      </w:r>
      <w:r>
        <w:rPr>
          <w:highlight w:val="lightGray"/>
        </w:rPr>
        <w:t>Условие включается в случае, когда на дату заключения Договора сметы по одному или нескольким Этапам работ отсутствуют</w:t>
      </w:r>
      <w:r>
        <w:rPr/>
        <w:t xml:space="preserve">. </w:t>
      </w:r>
    </w:p>
  </w:footnote>
  <w:footnote w:id="6">
    <w:p>
      <w:pPr>
        <w:pStyle w:val="Style36"/>
        <w:jc w:val="both"/>
        <w:rPr/>
      </w:pPr>
      <w:r>
        <w:rPr>
          <w:rStyle w:val="Style11"/>
        </w:rPr>
        <w:footnoteRef/>
      </w:r>
      <w:r>
        <w:rPr>
          <w:rStyle w:val="Style11"/>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Style36"/>
        <w:jc w:val="both"/>
        <w:rPr/>
      </w:pPr>
      <w:r>
        <w:rPr>
          <w:rStyle w:val="Style11"/>
        </w:rPr>
        <w:footnoteRef/>
      </w:r>
      <w:r>
        <w:rPr>
          <w:rStyle w:val="Style11"/>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8">
    <w:p>
      <w:pPr>
        <w:pStyle w:val="Style36"/>
        <w:jc w:val="both"/>
        <w:rPr/>
      </w:pPr>
      <w:r>
        <w:rPr>
          <w:rStyle w:val="Style11"/>
        </w:rPr>
        <w:footnoteRef/>
      </w:r>
      <w:r>
        <w:rPr>
          <w:rStyle w:val="Style11"/>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pPr>
        <w:pStyle w:val="Style36"/>
        <w:rPr/>
      </w:pPr>
      <w:r>
        <w:rPr>
          <w:rStyle w:val="Style11"/>
        </w:rPr>
        <w:footnoteRef/>
      </w:r>
      <w:r>
        <w:rPr>
          <w:rFonts w:ascii="Liberation Serif" w:hAnsi="Liberation Serif"/>
          <w:sz w:val="22"/>
          <w:szCs w:val="22"/>
        </w:rPr>
        <w:t xml:space="preserve"> </w:t>
      </w:r>
      <w:r>
        <w:rPr>
          <w:rFonts w:ascii="Liberation Serif" w:hAnsi="Liberation Serif"/>
          <w:sz w:val="22"/>
          <w:szCs w:val="22"/>
        </w:rPr>
        <w:t>Приказ ФНС России от 20.01.2025 N ЕД-7-26/28@ «</w:t>
      </w:r>
      <w:r>
        <w:rPr>
          <w:rFonts w:ascii="Liberation Serif" w:hAnsi="Liberation Serif"/>
        </w:rPr>
        <w:t>О признании утратившими силу приказов ФНС России от 30.11.2015 N ММВ-7-10/551@ "Об утверждении формата представления документа о передаче товаров при торговых операциях в электронной форме" и от 30.11.2015 N ММВ-7-10/552@ "Об утверждении формата представления документа о передаче результатов работ (документа об оказании услуг) в электронной форме»</w:t>
      </w:r>
    </w:p>
  </w:footnote>
  <w:footnote w:id="10">
    <w:p>
      <w:pPr>
        <w:pStyle w:val="Style36"/>
        <w:jc w:val="both"/>
        <w:rPr/>
      </w:pPr>
      <w:r>
        <w:rPr>
          <w:rStyle w:val="Style11"/>
        </w:rPr>
        <w:footnoteRef/>
      </w:r>
      <w:r>
        <w:rPr>
          <w:rStyle w:val="Style11"/>
        </w:rPr>
        <w:tab/>
      </w:r>
      <w:r>
        <w:rPr/>
        <w:t xml:space="preserve"> В случае если членство в СРО требуется в соответствии с законодательством Российской Федерации.</w:t>
      </w:r>
    </w:p>
  </w:footnote>
  <w:footnote w:id="11">
    <w:p>
      <w:pPr>
        <w:pStyle w:val="Style36"/>
        <w:jc w:val="both"/>
        <w:rPr/>
      </w:pPr>
      <w:r>
        <w:rPr>
          <w:rStyle w:val="Style11"/>
        </w:rPr>
        <w:footnoteRef/>
      </w:r>
      <w:r>
        <w:rPr>
          <w:rStyle w:val="Style11"/>
        </w:rPr>
        <w:tab/>
      </w:r>
      <w:r>
        <w:rPr/>
        <w:t xml:space="preserve"> В случае если членство в СРО требуется в соответствии с законодательством Российской Федерации.</w:t>
      </w:r>
    </w:p>
  </w:footnote>
  <w:footnote w:id="12">
    <w:p>
      <w:pPr>
        <w:pStyle w:val="Style36"/>
        <w:jc w:val="both"/>
        <w:rPr/>
      </w:pPr>
      <w:r>
        <w:rPr>
          <w:rStyle w:val="Style11"/>
        </w:rPr>
        <w:footnoteRef/>
      </w:r>
      <w:r>
        <w:rPr>
          <w:rStyle w:val="Style11"/>
        </w:rPr>
        <w:tab/>
      </w:r>
      <w:r>
        <w:rPr/>
        <w:t xml:space="preserve"> В случае если членство в СРО требуется в соответствии с законодательством Российской Федерации.</w:t>
      </w:r>
    </w:p>
  </w:footnote>
  <w:footnote w:id="13">
    <w:p>
      <w:pPr>
        <w:pStyle w:val="Style36"/>
        <w:rPr/>
      </w:pPr>
      <w:r>
        <w:rPr>
          <w:rStyle w:val="Style11"/>
        </w:rPr>
        <w:footnoteRef/>
      </w:r>
      <w:r>
        <w:rPr>
          <w:rStyle w:val="Style11"/>
        </w:rPr>
        <w:tab/>
      </w:r>
      <w:r>
        <w:rPr/>
        <w:t xml:space="preserve"> Абзацы второй и третий включаются в текст договора в случае заключения договора в электронной форме.</w:t>
      </w:r>
    </w:p>
  </w:footnote>
  <w:footnote w:id="14">
    <w:p>
      <w:pPr>
        <w:pStyle w:val="Style36"/>
        <w:rPr/>
      </w:pPr>
      <w:r>
        <w:rPr>
          <w:rStyle w:val="Style11"/>
        </w:rPr>
        <w:footnoteRef/>
      </w:r>
      <w:r>
        <w:rPr>
          <w:rStyle w:val="Style11"/>
        </w:rPr>
        <w:tab/>
      </w:r>
      <w:r>
        <w:rPr/>
        <w:t xml:space="preserve"> Актуальный Перечень Банков-Гарантов Группы РусГидро размещен на официальном сайте Общества</w:t>
      </w:r>
    </w:p>
    <w:p>
      <w:pPr>
        <w:pStyle w:val="Style36"/>
        <w:rPr/>
      </w:pPr>
      <w:r>
        <w:rPr/>
        <w:tab/>
        <w:t>(</w:t>
      </w:r>
      <w:hyperlink r:id="rId1">
        <w:r>
          <w:rPr/>
          <w:t>https://drsk.ru/investors/disclosure/dokumenty/vnutrennie-dokumenty-obshchestva/inye-dokumenty/</w:t>
        </w:r>
      </w:hyperlink>
      <w:r>
        <w:rPr/>
        <w:t>).</w:t>
      </w:r>
    </w:p>
  </w:footnote>
  <w:footnote w:id="15">
    <w:p>
      <w:pPr>
        <w:pStyle w:val="Style36"/>
        <w:jc w:val="both"/>
        <w:rPr/>
      </w:pPr>
      <w:r>
        <w:rPr>
          <w:rStyle w:val="Style11"/>
        </w:rPr>
        <w:footnoteRef/>
      </w:r>
      <w:r>
        <w:rPr>
          <w:rStyle w:val="Style11"/>
        </w:rPr>
        <w:tab/>
      </w:r>
      <w:r>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6">
    <w:p>
      <w:pPr>
        <w:pStyle w:val="Style36"/>
        <w:jc w:val="both"/>
        <w:rPr/>
      </w:pPr>
      <w:r>
        <w:rPr>
          <w:rStyle w:val="Style11"/>
        </w:rPr>
        <w:footnoteRef/>
      </w:r>
      <w:r>
        <w:rPr>
          <w:rStyle w:val="Style11"/>
        </w:rPr>
        <w:tab/>
      </w:r>
      <w:r>
        <w:rPr/>
        <w:t xml:space="preserve"> Данное требование не применяется в отношении небанковских кредитных организаций.</w:t>
      </w:r>
    </w:p>
  </w:footnote>
  <w:footnote w:id="17">
    <w:p>
      <w:pPr>
        <w:pStyle w:val="Style36"/>
        <w:jc w:val="both"/>
        <w:rPr/>
      </w:pPr>
      <w:r>
        <w:rPr>
          <w:rStyle w:val="Style11"/>
        </w:rPr>
        <w:footnoteRef/>
      </w:r>
      <w:r>
        <w:rPr>
          <w:rStyle w:val="Style11"/>
        </w:rPr>
        <w:tab/>
      </w:r>
      <w:r>
        <w:rP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18">
    <w:p>
      <w:pPr>
        <w:pStyle w:val="Style36"/>
        <w:jc w:val="both"/>
        <w:rPr/>
      </w:pPr>
      <w:r>
        <w:rPr>
          <w:rStyle w:val="Style11"/>
        </w:rPr>
        <w:footnoteRef/>
      </w:r>
      <w:r>
        <w:rPr>
          <w:rStyle w:val="Style11"/>
        </w:rPr>
        <w:tab/>
      </w:r>
      <w:r>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hd w:val="clear" w:color="auto" w:fill="FFFFFF"/>
      <w:tabs>
        <w:tab w:val="clear" w:pos="720"/>
        <w:tab w:val="left" w:pos="0" w:leader="none"/>
        <w:tab w:val="left" w:pos="142" w:leader="none"/>
      </w:tabs>
      <w:spacing w:lineRule="auto" w:line="240"/>
      <w:ind w:hanging="0"/>
      <w:rPr/>
    </w:pPr>
    <w:r>
      <w:rPr>
        <w:i/>
        <w:sz w:val="22"/>
      </w:rPr>
      <w:t>ТФД №1.6.1. Договор подряда на выполнение проектно-изыскательских работ, предусматривающий несколько этапов, банковскую гарантию по возврату аванса (с оговорками по привлечению МСП на субподряд)</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961" w:hanging="432"/>
      </w:pPr>
      <w:rPr>
        <w:sz w:val="24"/>
        <w:i w:val="false"/>
        <w:u w:val="none"/>
        <w:b w:val="false"/>
      </w:rPr>
    </w:lvl>
    <w:lvl w:ilvl="2">
      <w:start w:val="1"/>
      <w:numFmt w:val="decimal"/>
      <w:lvlText w:val="%1.%2.%3."/>
      <w:lvlJc w:val="left"/>
      <w:pPr>
        <w:tabs>
          <w:tab w:val="num" w:pos="0"/>
        </w:tabs>
        <w:ind w:left="504" w:hanging="504"/>
      </w:pPr>
      <w:rPr>
        <w:sz w:val="24"/>
        <w:b w:val="false"/>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u w:val="none"/>
        <w:b w:val="false"/>
      </w:rPr>
    </w:lvl>
    <w:lvl w:ilvl="2">
      <w:start w:val="1"/>
      <w:numFmt w:val="bullet"/>
      <w:lvlText w:val=""/>
      <w:lvlJc w:val="left"/>
      <w:pPr>
        <w:tabs>
          <w:tab w:val="num" w:pos="0"/>
        </w:tabs>
        <w:ind w:left="504" w:hanging="504"/>
      </w:pPr>
      <w:rPr>
        <w:rFonts w:ascii="Symbol" w:hAnsi="Symbol" w:cs="Symbol" w:hint="default"/>
        <w:sz w:val="24"/>
        <w:b/>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1">
    <w:name w:val="Heading 1"/>
    <w:basedOn w:val="Normal"/>
    <w:next w:val="Normal"/>
    <w:link w:val="10"/>
    <w:qFormat/>
    <w:rsid w:val="00ae674d"/>
    <w:pPr>
      <w:keepNext w:val="true"/>
      <w:spacing w:before="240" w:after="60"/>
      <w:outlineLvl w:val="0"/>
    </w:pPr>
    <w:rPr>
      <w:rFonts w:ascii="Cambria" w:hAnsi="Cambria"/>
      <w:b/>
      <w:bCs/>
      <w:sz w:val="32"/>
      <w:szCs w:val="32"/>
      <w:lang w:val="x-none" w:eastAsia="x-none"/>
    </w:rPr>
  </w:style>
  <w:style w:type="paragraph" w:styleId="2">
    <w:name w:val="Heading 2"/>
    <w:basedOn w:val="Normal"/>
    <w:next w:val="Normal"/>
    <w:link w:val="20"/>
    <w:qFormat/>
    <w:rsid w:val="00ae674d"/>
    <w:pPr>
      <w:keepNext w:val="true"/>
      <w:spacing w:before="240" w:after="60"/>
      <w:outlineLvl w:val="1"/>
    </w:pPr>
    <w:rPr>
      <w:rFonts w:ascii="Cambria" w:hAnsi="Cambria"/>
      <w:b/>
      <w:bCs/>
      <w:i/>
      <w:iCs/>
      <w:lang w:val="x-none" w:eastAsia="x-none"/>
    </w:rPr>
  </w:style>
  <w:style w:type="paragraph" w:styleId="3">
    <w:name w:val="Heading 3"/>
    <w:basedOn w:val="Normal"/>
    <w:next w:val="Normal"/>
    <w:link w:val="30"/>
    <w:uiPriority w:val="9"/>
    <w:qFormat/>
    <w:rsid w:val="005f3f9e"/>
    <w:pPr>
      <w:keepNext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unhideWhenUsed/>
    <w:qFormat/>
    <w:rPr/>
  </w:style>
  <w:style w:type="character" w:styleId="Style11" w:customStyle="1">
    <w:name w:val="Символ сноски"/>
    <w:qFormat/>
    <w:rPr>
      <w:vertAlign w:val="superscript"/>
    </w:rPr>
  </w:style>
  <w:style w:type="character" w:styleId="Style12">
    <w:name w:val="Привязка сноски"/>
    <w:rPr>
      <w:vertAlign w:val="superscript"/>
    </w:rPr>
  </w:style>
  <w:style w:type="character" w:styleId="FootnoteCharacters" w:customStyle="1">
    <w:name w:val="Footnote Characters"/>
    <w:uiPriority w:val="99"/>
    <w:qFormat/>
    <w:rsid w:val="00d45657"/>
    <w:rPr>
      <w:vertAlign w:val="superscript"/>
    </w:rPr>
  </w:style>
  <w:style w:type="character" w:styleId="31" w:customStyle="1">
    <w:name w:val="Заголовок 3 Знак"/>
    <w:link w:val="3"/>
    <w:qFormat/>
    <w:rsid w:val="005f3f9e"/>
    <w:rPr>
      <w:b/>
      <w:sz w:val="28"/>
    </w:rPr>
  </w:style>
  <w:style w:type="character" w:styleId="32" w:customStyle="1">
    <w:name w:val="3. Подпункт Знак"/>
    <w:link w:val="32"/>
    <w:qFormat/>
    <w:rsid w:val="005f4a86"/>
    <w:rPr>
      <w:b/>
      <w:bCs/>
      <w:sz w:val="24"/>
      <w:szCs w:val="24"/>
    </w:rPr>
  </w:style>
  <w:style w:type="character" w:styleId="Style13" w:customStyle="1">
    <w:name w:val="Текст выноски Знак"/>
    <w:link w:val="a6"/>
    <w:qFormat/>
    <w:rsid w:val="00dc2b59"/>
    <w:rPr>
      <w:rFonts w:ascii="Tahoma" w:hAnsi="Tahoma" w:cs="Tahoma"/>
      <w:sz w:val="16"/>
      <w:szCs w:val="16"/>
    </w:rPr>
  </w:style>
  <w:style w:type="character" w:styleId="11" w:customStyle="1">
    <w:name w:val="1. Статья Знак"/>
    <w:link w:val="12"/>
    <w:qFormat/>
    <w:rsid w:val="00f50d64"/>
    <w:rPr>
      <w:b w:val="false"/>
      <w:sz w:val="24"/>
      <w:szCs w:val="24"/>
    </w:rPr>
  </w:style>
  <w:style w:type="character" w:styleId="4" w:customStyle="1">
    <w:name w:val="4. Отчерк Знак"/>
    <w:link w:val="40"/>
    <w:qFormat/>
    <w:rsid w:val="00f50d64"/>
    <w:rPr>
      <w:sz w:val="24"/>
      <w:szCs w:val="24"/>
    </w:rPr>
  </w:style>
  <w:style w:type="character" w:styleId="Annotationreference">
    <w:name w:val="annotation reference"/>
    <w:qFormat/>
    <w:rsid w:val="00f50d64"/>
    <w:rPr>
      <w:sz w:val="16"/>
      <w:szCs w:val="16"/>
    </w:rPr>
  </w:style>
  <w:style w:type="character" w:styleId="Style14" w:customStyle="1">
    <w:name w:val="Текст примечания Знак"/>
    <w:link w:val="a9"/>
    <w:qFormat/>
    <w:rsid w:val="00f50d64"/>
    <w:rPr/>
  </w:style>
  <w:style w:type="character" w:styleId="Style15" w:customStyle="1">
    <w:name w:val="Тема примечания Знак"/>
    <w:link w:val="ab"/>
    <w:qFormat/>
    <w:rsid w:val="00f50d64"/>
    <w:rPr>
      <w:b/>
      <w:bCs/>
    </w:rPr>
  </w:style>
  <w:style w:type="character" w:styleId="Style16" w:customStyle="1">
    <w:name w:val="Нижний колонтитул Знак"/>
    <w:link w:val="ad"/>
    <w:uiPriority w:val="99"/>
    <w:qFormat/>
    <w:rsid w:val="0043217c"/>
    <w:rPr>
      <w:sz w:val="28"/>
      <w:szCs w:val="28"/>
    </w:rPr>
  </w:style>
  <w:style w:type="character" w:styleId="33" w:customStyle="1">
    <w:name w:val="Основной текст 3 Знак"/>
    <w:link w:val="34"/>
    <w:qFormat/>
    <w:rsid w:val="001d2676"/>
    <w:rPr>
      <w:color w:val="0000FF"/>
      <w:sz w:val="24"/>
      <w:szCs w:val="24"/>
      <w:lang w:eastAsia="en-US"/>
    </w:rPr>
  </w:style>
  <w:style w:type="character" w:styleId="Style17" w:customStyle="1">
    <w:name w:val="Заголовок Знак"/>
    <w:link w:val="13"/>
    <w:qFormat/>
    <w:rsid w:val="00ae674d"/>
    <w:rPr>
      <w:sz w:val="22"/>
      <w:szCs w:val="22"/>
      <w:shd w:fill="FFFFFF" w:val="clear"/>
    </w:rPr>
  </w:style>
  <w:style w:type="character" w:styleId="12" w:customStyle="1">
    <w:name w:val="Заголовок 1 Знак"/>
    <w:link w:val="1"/>
    <w:qFormat/>
    <w:rsid w:val="00ae674d"/>
    <w:rPr>
      <w:rFonts w:ascii="Cambria" w:hAnsi="Cambria" w:eastAsia="Times New Roman" w:cs="Times New Roman"/>
      <w:b/>
      <w:bCs/>
      <w:sz w:val="32"/>
      <w:szCs w:val="32"/>
    </w:rPr>
  </w:style>
  <w:style w:type="character" w:styleId="21" w:customStyle="1">
    <w:name w:val="Заголовок 2 Знак"/>
    <w:link w:val="2"/>
    <w:semiHidden/>
    <w:qFormat/>
    <w:rsid w:val="00ae674d"/>
    <w:rPr>
      <w:rFonts w:ascii="Cambria" w:hAnsi="Cambria" w:eastAsia="Times New Roman" w:cs="Times New Roman"/>
      <w:b/>
      <w:bCs/>
      <w:i/>
      <w:iCs/>
      <w:sz w:val="28"/>
      <w:szCs w:val="28"/>
    </w:rPr>
  </w:style>
  <w:style w:type="character" w:styleId="Style18" w:customStyle="1">
    <w:name w:val="Основной текст с отступом Знак"/>
    <w:link w:val="af0"/>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9" w:customStyle="1">
    <w:name w:val="Текст сноски Знак"/>
    <w:link w:val="af2"/>
    <w:uiPriority w:val="99"/>
    <w:qFormat/>
    <w:rsid w:val="00f43f0d"/>
    <w:rPr/>
  </w:style>
  <w:style w:type="character" w:styleId="Style20">
    <w:name w:val="Интернет-ссылка"/>
    <w:uiPriority w:val="99"/>
    <w:unhideWhenUsed/>
    <w:rsid w:val="00ee68c6"/>
    <w:rPr>
      <w:color w:val="0000FF"/>
      <w:u w:val="single"/>
    </w:rPr>
  </w:style>
  <w:style w:type="character" w:styleId="Style21" w:customStyle="1">
    <w:name w:val="Текст концевой сноски Знак"/>
    <w:link w:val="EndnoteSymbol"/>
    <w:uiPriority w:val="99"/>
    <w:semiHidden/>
    <w:qFormat/>
    <w:rsid w:val="008c02d8"/>
    <w:rPr/>
  </w:style>
  <w:style w:type="character" w:styleId="Style22" w:customStyle="1">
    <w:name w:val="Символ концевой сноски"/>
    <w:qFormat/>
    <w:rPr>
      <w:vertAlign w:val="superscript"/>
    </w:rPr>
  </w:style>
  <w:style w:type="character" w:styleId="Style23">
    <w:name w:val="Привязка концевой сноски"/>
    <w:rPr>
      <w:vertAlign w:val="superscript"/>
    </w:rPr>
  </w:style>
  <w:style w:type="character" w:styleId="EndnoteCharacters" w:customStyle="1">
    <w:name w:val="Endnote Characters"/>
    <w:uiPriority w:val="99"/>
    <w:semiHidden/>
    <w:unhideWhenUsed/>
    <w:qFormat/>
    <w:rsid w:val="008c02d8"/>
    <w:rPr>
      <w:vertAlign w:val="superscript"/>
    </w:rPr>
  </w:style>
  <w:style w:type="character" w:styleId="Style24" w:customStyle="1">
    <w:name w:val="Абзац списка Знак"/>
    <w:link w:val="af8"/>
    <w:uiPriority w:val="34"/>
    <w:qFormat/>
    <w:locked/>
    <w:rsid w:val="004b4870"/>
    <w:rPr>
      <w:sz w:val="24"/>
      <w:szCs w:val="24"/>
    </w:rPr>
  </w:style>
  <w:style w:type="character" w:styleId="Style25" w:customStyle="1">
    <w:name w:val="Символы концевой сноски"/>
    <w:qFormat/>
    <w:rPr/>
  </w:style>
  <w:style w:type="character" w:styleId="Style26">
    <w:name w:val="Посещённая гиперссылка"/>
    <w:rPr>
      <w:color w:val="800080"/>
      <w:u w:val="single"/>
    </w:rPr>
  </w:style>
  <w:style w:type="paragraph" w:styleId="Style27">
    <w:name w:val="Заголовок"/>
    <w:basedOn w:val="Normal"/>
    <w:next w:val="Style28"/>
    <w:qFormat/>
    <w:pPr>
      <w:keepNext w:val="true"/>
      <w:spacing w:before="240" w:after="120"/>
    </w:pPr>
    <w:rPr>
      <w:rFonts w:ascii="Liberation Sans" w:hAnsi="Liberation Sans" w:eastAsia="Noto Sans CJK SC" w:cs="Lohit Devanagari"/>
      <w:sz w:val="28"/>
      <w:szCs w:val="28"/>
    </w:rPr>
  </w:style>
  <w:style w:type="paragraph" w:styleId="Style28">
    <w:name w:val="Body Text"/>
    <w:basedOn w:val="Normal"/>
    <w:rsid w:val="004b090f"/>
    <w:pPr>
      <w:spacing w:before="0" w:after="120"/>
    </w:pPr>
    <w:rPr/>
  </w:style>
  <w:style w:type="paragraph" w:styleId="Style29">
    <w:name w:val="List"/>
    <w:basedOn w:val="Style28"/>
    <w:pPr/>
    <w:rPr>
      <w:rFonts w:cs="Lohit Devanagari"/>
    </w:rPr>
  </w:style>
  <w:style w:type="paragraph" w:styleId="Style30">
    <w:name w:val="Caption"/>
    <w:basedOn w:val="Normal"/>
    <w:qFormat/>
    <w:pPr>
      <w:suppressLineNumbers/>
      <w:spacing w:before="120" w:after="120"/>
    </w:pPr>
    <w:rPr>
      <w:rFonts w:cs="Lohit Devanagari"/>
      <w:i/>
      <w:iCs/>
      <w:sz w:val="24"/>
      <w:szCs w:val="24"/>
    </w:rPr>
  </w:style>
  <w:style w:type="paragraph" w:styleId="Style31">
    <w:name w:val="Указатель"/>
    <w:basedOn w:val="Normal"/>
    <w:qFormat/>
    <w:pPr>
      <w:suppressLineNumbers/>
    </w:pPr>
    <w:rPr>
      <w:rFonts w:cs="Lohit Devanagari"/>
    </w:rPr>
  </w:style>
  <w:style w:type="paragraph" w:styleId="Style32">
    <w:name w:val="Title"/>
    <w:basedOn w:val="Normal"/>
    <w:next w:val="Style28"/>
    <w:qFormat/>
    <w:pPr>
      <w:keepNext w:val="true"/>
      <w:spacing w:before="240" w:after="120"/>
    </w:pPr>
    <w:rPr>
      <w:rFonts w:ascii="Liberation Sans" w:hAnsi="Liberation Sans" w:eastAsia="WenQuanYi Zen Hei Sharp"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BodyText3">
    <w:name w:val="Body Text 3"/>
    <w:basedOn w:val="Normal"/>
    <w:link w:val="33"/>
    <w:qFormat/>
    <w:rsid w:val="004b090f"/>
    <w:pPr>
      <w:spacing w:lineRule="auto" w:line="240"/>
      <w:ind w:hanging="0"/>
    </w:pPr>
    <w:rPr>
      <w:color w:val="0000FF"/>
      <w:sz w:val="24"/>
      <w:szCs w:val="24"/>
      <w:lang w:val="x-none" w:eastAsia="en-US"/>
    </w:rPr>
  </w:style>
  <w:style w:type="paragraph" w:styleId="Style33" w:customStyle="1">
    <w:name w:val="Колонтитул"/>
    <w:basedOn w:val="Normal"/>
    <w:qFormat/>
    <w:pPr/>
    <w:rPr/>
  </w:style>
  <w:style w:type="paragraph" w:styleId="Style34">
    <w:name w:val="Header"/>
    <w:basedOn w:val="Normal"/>
    <w:rsid w:val="004b090f"/>
    <w:pPr>
      <w:tabs>
        <w:tab w:val="clear" w:pos="720"/>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35"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Style36">
    <w:name w:val="Footnote Text"/>
    <w:basedOn w:val="Normal"/>
    <w:link w:val="af1"/>
    <w:uiPriority w:val="99"/>
    <w:rsid w:val="00d45657"/>
    <w:pPr>
      <w:spacing w:lineRule="auto" w:line="240"/>
      <w:ind w:hanging="0"/>
      <w:jc w:val="left"/>
    </w:pPr>
    <w:rPr>
      <w:sz w:val="20"/>
      <w:szCs w:val="20"/>
    </w:rPr>
  </w:style>
  <w:style w:type="paragraph" w:styleId="Style37"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2"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38"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39"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40" w:customStyle="1">
    <w:name w:val="Подпункт договора"/>
    <w:basedOn w:val="Normal"/>
    <w:qFormat/>
    <w:rsid w:val="00617a62"/>
    <w:pPr>
      <w:tabs>
        <w:tab w:val="clear" w:pos="720"/>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af7"/>
    <w:uiPriority w:val="34"/>
    <w:qFormat/>
    <w:rsid w:val="005f3f9e"/>
    <w:pPr>
      <w:spacing w:lineRule="auto" w:line="240" w:before="0" w:after="0"/>
      <w:ind w:left="720" w:hanging="0"/>
      <w:contextualSpacing/>
      <w:jc w:val="left"/>
    </w:pPr>
    <w:rPr>
      <w:sz w:val="24"/>
      <w:szCs w:val="24"/>
    </w:rPr>
  </w:style>
  <w:style w:type="paragraph" w:styleId="13" w:customStyle="1">
    <w:name w:val="1. Статья"/>
    <w:basedOn w:val="3"/>
    <w:link w:val="11"/>
    <w:qFormat/>
    <w:rsid w:val="005f4a86"/>
    <w:pPr>
      <w:keepNext w:val="false"/>
      <w:widowControl w:val="false"/>
      <w:tabs>
        <w:tab w:val="clear" w:pos="720"/>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3" w:customStyle="1">
    <w:name w:val="2. Пункт"/>
    <w:basedOn w:val="3"/>
    <w:qFormat/>
    <w:rsid w:val="005f4a86"/>
    <w:pPr>
      <w:keepNext w:val="false"/>
      <w:widowControl w:val="false"/>
      <w:suppressAutoHyphens w:val="false"/>
      <w:overflowPunct w:val="true"/>
      <w:spacing w:before="0" w:after="0"/>
      <w:jc w:val="both"/>
      <w:textAlignment w:val="baseline"/>
    </w:pPr>
    <w:rPr>
      <w:b w:val="false"/>
      <w:sz w:val="24"/>
      <w:szCs w:val="24"/>
    </w:rPr>
  </w:style>
  <w:style w:type="paragraph" w:styleId="34" w:customStyle="1">
    <w:name w:val="3. Подпункт"/>
    <w:basedOn w:val="3"/>
    <w:link w:val="31"/>
    <w:qFormat/>
    <w:rsid w:val="005f4a86"/>
    <w:pPr>
      <w:keepNext w:val="false"/>
      <w:widowControl w:val="false"/>
      <w:tabs>
        <w:tab w:val="clear" w:pos="720"/>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eastAsia="en-US" w:val="ru-RU" w:bidi="ar-SA"/>
    </w:rPr>
  </w:style>
  <w:style w:type="paragraph" w:styleId="BalloonText">
    <w:name w:val="Balloon Text"/>
    <w:basedOn w:val="Normal"/>
    <w:link w:val="a5"/>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a8"/>
    <w:qFormat/>
    <w:rsid w:val="00f50d64"/>
    <w:pPr>
      <w:spacing w:lineRule="auto" w:line="240"/>
    </w:pPr>
    <w:rPr>
      <w:sz w:val="20"/>
      <w:szCs w:val="20"/>
      <w:lang w:val="x-none" w:eastAsia="x-none"/>
    </w:rPr>
  </w:style>
  <w:style w:type="paragraph" w:styleId="Annotationsubject">
    <w:name w:val="annotation subject"/>
    <w:basedOn w:val="Annotationtext"/>
    <w:link w:val="aa"/>
    <w:qFormat/>
    <w:rsid w:val="00f50d64"/>
    <w:pPr/>
    <w:rPr>
      <w:b/>
      <w:bCs/>
    </w:rPr>
  </w:style>
  <w:style w:type="paragraph" w:styleId="Style41">
    <w:name w:val="Footer"/>
    <w:basedOn w:val="Normal"/>
    <w:link w:val="ac"/>
    <w:uiPriority w:val="99"/>
    <w:rsid w:val="0043217c"/>
    <w:pPr>
      <w:tabs>
        <w:tab w:val="clear" w:pos="720"/>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14" w:customStyle="1">
    <w:name w:val="Заголовок1"/>
    <w:basedOn w:val="Normal"/>
    <w:link w:val="ae"/>
    <w:qFormat/>
    <w:rsid w:val="00ae674d"/>
    <w:pPr>
      <w:widowControl w:val="false"/>
      <w:overflowPunct w:val="true"/>
      <w:spacing w:lineRule="auto" w:line="240" w:before="0" w:after="120"/>
      <w:ind w:hanging="0"/>
      <w:jc w:val="center"/>
      <w:textAlignment w:val="baseline"/>
    </w:pPr>
    <w:rPr>
      <w:b/>
      <w:bCs/>
      <w:sz w:val="32"/>
      <w:szCs w:val="20"/>
    </w:rPr>
  </w:style>
  <w:style w:type="paragraph" w:styleId="Style42">
    <w:name w:val="Body Text Indent"/>
    <w:basedOn w:val="Normal"/>
    <w:link w:val="af"/>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20"/>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customStyle="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5"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Style43" w:customStyle="1">
    <w:name w:val="Контракт-раздел"/>
    <w:basedOn w:val="Normal"/>
    <w:qFormat/>
    <w:rsid w:val="00f43f0d"/>
    <w:pPr>
      <w:keepNext w:val="true"/>
      <w:keepLines/>
      <w:tabs>
        <w:tab w:val="clear" w:pos="720"/>
        <w:tab w:val="left" w:pos="0" w:leader="none"/>
        <w:tab w:val="left" w:pos="567" w:leader="none"/>
      </w:tabs>
      <w:spacing w:lineRule="auto" w:line="240" w:before="360" w:after="120"/>
      <w:jc w:val="center"/>
      <w:textAlignment w:val="baseline"/>
      <w:outlineLvl w:val="1"/>
    </w:pPr>
    <w:rPr>
      <w:b/>
      <w:bCs/>
      <w:caps/>
    </w:rPr>
  </w:style>
  <w:style w:type="paragraph" w:styleId="Style44" w:customStyle="1">
    <w:name w:val="Контракт-пункт"/>
    <w:basedOn w:val="Normal"/>
    <w:qFormat/>
    <w:rsid w:val="00f43f0d"/>
    <w:pPr/>
    <w:rPr/>
  </w:style>
  <w:style w:type="paragraph" w:styleId="Style45" w:customStyle="1">
    <w:name w:val="Контракт-подпункт"/>
    <w:basedOn w:val="Normal"/>
    <w:qFormat/>
    <w:rsid w:val="00f43f0d"/>
    <w:pPr/>
    <w:rPr/>
  </w:style>
  <w:style w:type="paragraph" w:styleId="Style46" w:customStyle="1">
    <w:name w:val="Контракт-подподпункт"/>
    <w:basedOn w:val="Normal"/>
    <w:qFormat/>
    <w:rsid w:val="00f43f0d"/>
    <w:pPr/>
    <w:rPr/>
  </w:style>
  <w:style w:type="paragraph" w:styleId="EndnoteSymbol" w:customStyle="1">
    <w:name w:val="Endnote Symbol"/>
    <w:basedOn w:val="Normal"/>
    <w:link w:val="af4"/>
    <w:uiPriority w:val="99"/>
    <w:semiHidden/>
    <w:unhideWhenUsed/>
    <w:qFormat/>
    <w:rsid w:val="008c02d8"/>
    <w:pPr/>
    <w:rPr>
      <w:sz w:val="20"/>
      <w:szCs w:val="20"/>
      <w:lang w:val="x-none" w:eastAsia="x-none"/>
    </w:rPr>
  </w:style>
  <w:style w:type="paragraph" w:styleId="ConsPlusNonformat" w:customStyle="1">
    <w:name w:val="ConsPlusNonformat"/>
    <w:qFormat/>
    <w:rsid w:val="00a82882"/>
    <w:pPr>
      <w:widowControl w:val="false"/>
      <w:suppressAutoHyphens w:val="true"/>
      <w:bidi w:val="0"/>
      <w:spacing w:before="0" w:after="0"/>
      <w:jc w:val="left"/>
    </w:pPr>
    <w:rPr>
      <w:rFonts w:ascii="Courier New" w:hAnsi="Courier New" w:cs="Courier New" w:eastAsia="Times New Roman"/>
      <w:color w:val="00000A"/>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8">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
</Relationships>
</file>

<file path=word/_rels/footnotes.xml.rels><?xml version="1.0" encoding="UTF-8"?>
<Relationships xmlns="http://schemas.openxmlformats.org/package/2006/relationships"><Relationship Id="rId1" Type="http://schemas.openxmlformats.org/officeDocument/2006/relationships/hyperlink" Target="https://drsk.ru/investors/disclosure/dokumenty/vnutrennie-dokumenty-obshchestva/inye-dokumenty/"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145FFA-FA3B-4028-AF1D-3540F8B64A7D}">
  <ds:schemaRefs>
    <ds:schemaRef ds:uri="http://schemas.openxmlformats.org/officeDocument/2006/bibliography"/>
  </ds:schemaRefs>
</ds:datastoreItem>
</file>

<file path=customXml/itemProps5.xml><?xml version="1.0" encoding="utf-8"?>
<ds:datastoreItem xmlns:ds="http://schemas.openxmlformats.org/officeDocument/2006/customXml" ds:itemID="{1BE0AECD-8F9E-4052-A148-E92C185F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Application>LibreOffice/7.1.8.1$Linux_X86_64 LibreOffice_project/10$Build-1</Application>
  <AppVersion>15.0000</AppVersion>
  <Pages>42</Pages>
  <Words>14500</Words>
  <Characters>104136</Characters>
  <CharactersWithSpaces>118294</CharactersWithSpaces>
  <Paragraphs>693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2022-11-01T07:42:00Z</dcterms:created>
  <dc:creator>UK VoHEC</dc:creator>
  <dc:description/>
  <dc:language>ru-RU</dc:language>
  <cp:lastModifiedBy/>
  <cp:lastPrinted>2020-03-18T05:26:00Z</cp:lastPrinted>
  <dcterms:modified xsi:type="dcterms:W3CDTF">2026-07-09T15:29:33Z</dcterms:modified>
  <cp:revision>33</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