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highlight w:val="none"/>
          <w:shd w:fill="auto" w:val="clear"/>
        </w:rPr>
      </w:pPr>
      <w:r>
        <w:rPr>
          <w:rFonts w:ascii="Times New Roman" w:hAnsi="Times New Roman"/>
          <w:b/>
          <w:shd w:fill="auto" w:val="clear"/>
        </w:rPr>
        <w:t xml:space="preserve">ТЕХНИЧЕСКИЕ ТРЕБОВАНИЯ </w:t>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 xml:space="preserve">ОКПД2 </w:t>
      </w:r>
      <w:r>
        <w:rPr>
          <w:rFonts w:ascii="Times New Roman" w:hAnsi="Times New Roman"/>
          <w:b w:val="false"/>
          <w:i w:val="false"/>
          <w:caps w:val="false"/>
          <w:smallCaps w:val="false"/>
          <w:color w:val="000000"/>
          <w:spacing w:val="0"/>
          <w:sz w:val="30"/>
          <w:shd w:fill="auto" w:val="clear"/>
        </w:rPr>
        <w:t>24.10.62.21</w:t>
      </w:r>
      <w:r>
        <w:rPr>
          <w:rFonts w:ascii="Times New Roman" w:hAnsi="Times New Roman"/>
          <w:b w:val="false"/>
          <w:i w:val="false"/>
          <w:caps w:val="false"/>
          <w:smallCaps w:val="false"/>
          <w:color w:val="000000"/>
          <w:spacing w:val="0"/>
          <w:sz w:val="30"/>
          <w:shd w:fill="auto" w:val="clear"/>
        </w:rPr>
        <w:t>0</w:t>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 xml:space="preserve">Поставка </w:t>
      </w:r>
      <w:r>
        <w:rPr>
          <w:rFonts w:ascii="Times New Roman" w:hAnsi="Times New Roman"/>
          <w:b w:val="false"/>
          <w:i w:val="false"/>
          <w:caps w:val="false"/>
          <w:smallCaps w:val="false"/>
          <w:color w:val="000000"/>
          <w:spacing w:val="0"/>
          <w:sz w:val="30"/>
          <w:shd w:fill="auto" w:val="clear"/>
        </w:rPr>
        <w:t xml:space="preserve">арматуры А500С 16 мм рифлёной </w:t>
      </w:r>
      <w:r>
        <w:rPr>
          <w:rFonts w:ascii="Times New Roman" w:hAnsi="Times New Roman"/>
          <w:shd w:fill="auto" w:val="clear"/>
        </w:rPr>
        <w:t>для нужд Волжского филиала АО «Гидроремонт-ВКК»</w:t>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highlight w:val="none"/>
          <w:shd w:fill="auto" w:val="clear"/>
        </w:rPr>
      </w:pPr>
      <w:r>
        <w:rPr>
          <w:shd w:fill="auto" w:val="clear"/>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rPr>
          <w:sz w:val="24"/>
          <w:szCs w:val="24"/>
        </w:rPr>
      </w:pPr>
      <w:r>
        <w:rPr>
          <w:rFonts w:ascii="Times New Roman" w:hAnsi="Times New Roman"/>
          <w:b/>
          <w:sz w:val="24"/>
          <w:szCs w:val="24"/>
        </w:rPr>
        <w:t>1.1</w:t>
      </w:r>
      <w:r>
        <w:rPr>
          <w:rFonts w:ascii="Times New Roman" w:hAnsi="Times New Roman"/>
          <w:sz w:val="24"/>
          <w:szCs w:val="24"/>
        </w:rPr>
        <w:t>.</w:t>
      </w:r>
      <w:r>
        <w:rPr>
          <w:rFonts w:ascii="Times New Roman" w:hAnsi="Times New Roman"/>
          <w:b/>
          <w:bCs/>
          <w:sz w:val="24"/>
          <w:szCs w:val="24"/>
        </w:rPr>
        <w:tab/>
        <w:t>Наименование закупаемой продукции</w:t>
      </w:r>
    </w:p>
    <w:p>
      <w:pPr>
        <w:pStyle w:val="12"/>
        <w:shd w:val="clear" w:fill="auto"/>
        <w:spacing w:lineRule="auto" w:line="264"/>
        <w:jc w:val="both"/>
        <w:rPr/>
      </w:pPr>
      <w:r>
        <w:rPr>
          <w:rFonts w:ascii="Times New Roman" w:hAnsi="Times New Roman"/>
          <w:sz w:val="24"/>
          <w:szCs w:val="24"/>
        </w:rPr>
        <w:t>ОКПД2 24.10.62.21</w:t>
      </w:r>
      <w:r>
        <w:rPr>
          <w:rFonts w:ascii="Times New Roman" w:hAnsi="Times New Roman"/>
          <w:sz w:val="24"/>
          <w:szCs w:val="24"/>
        </w:rPr>
        <w:t>0</w:t>
      </w:r>
      <w:r>
        <w:rPr>
          <w:rFonts w:ascii="Times New Roman" w:hAnsi="Times New Roman"/>
          <w:sz w:val="24"/>
          <w:szCs w:val="24"/>
        </w:rPr>
        <w:t xml:space="preserve"> Поставка </w:t>
      </w:r>
      <w:r>
        <w:rPr>
          <w:rFonts w:eastAsia="Calibri" w:cs="Times New Roman" w:ascii="Times New Roman" w:hAnsi="Times New Roman"/>
          <w:color w:val="auto"/>
          <w:kern w:val="0"/>
          <w:sz w:val="24"/>
          <w:szCs w:val="24"/>
          <w:lang w:val="ru-RU" w:eastAsia="ru-RU" w:bidi="ar-SA"/>
        </w:rPr>
        <w:t xml:space="preserve">арматуры А500С 16 мм рифлёной для </w:t>
      </w:r>
      <w:r>
        <w:rPr>
          <w:rFonts w:ascii="Times New Roman" w:hAnsi="Times New Roman"/>
          <w:sz w:val="24"/>
          <w:szCs w:val="24"/>
        </w:rPr>
        <w:t>нужд Волжского филиала АО «Гидроремонт-ВКК» (далее - Продукция).</w:t>
      </w:r>
    </w:p>
    <w:p>
      <w:pPr>
        <w:pStyle w:val="12"/>
        <w:spacing w:lineRule="auto" w:line="264"/>
        <w:rPr>
          <w:sz w:val="24"/>
          <w:szCs w:val="24"/>
        </w:rPr>
      </w:pPr>
      <w:r>
        <w:rPr>
          <w:rFonts w:ascii="Times New Roman" w:hAnsi="Times New Roman"/>
          <w:b/>
          <w:sz w:val="24"/>
          <w:szCs w:val="24"/>
        </w:rPr>
        <w:t>1.2</w:t>
      </w:r>
      <w:bookmarkStart w:id="0" w:name="_Toc75446569"/>
      <w:bookmarkStart w:id="1" w:name="_Toc46743507"/>
      <w:r>
        <w:rPr>
          <w:rFonts w:ascii="Times New Roman" w:hAnsi="Times New Roman"/>
          <w:b/>
          <w:bCs/>
          <w:i/>
          <w:iCs/>
          <w:sz w:val="24"/>
          <w:szCs w:val="24"/>
          <w:lang w:val="x-none" w:eastAsia="x-none"/>
        </w:rPr>
        <w:t xml:space="preserve"> </w:t>
        <w:tab/>
      </w:r>
      <w:r>
        <w:rPr>
          <w:rFonts w:ascii="Times New Roman" w:hAnsi="Times New Roman"/>
          <w:b/>
          <w:bCs/>
          <w:sz w:val="24"/>
          <w:szCs w:val="24"/>
          <w:lang w:val="x-none"/>
        </w:rPr>
        <w:t xml:space="preserve">Цель </w:t>
      </w:r>
      <w:bookmarkEnd w:id="1"/>
      <w:r>
        <w:rPr>
          <w:rFonts w:ascii="Times New Roman" w:hAnsi="Times New Roman"/>
          <w:b/>
          <w:bCs/>
          <w:sz w:val="24"/>
          <w:szCs w:val="24"/>
        </w:rPr>
        <w:t xml:space="preserve">использования закупаемой продукции </w:t>
      </w:r>
      <w:bookmarkEnd w:id="0"/>
      <w:r>
        <w:rPr>
          <w:rFonts w:ascii="Times New Roman" w:hAnsi="Times New Roman"/>
          <w:b/>
          <w:bCs/>
          <w:sz w:val="24"/>
          <w:szCs w:val="24"/>
          <w:lang w:val="x-none"/>
        </w:rPr>
        <w:t xml:space="preserve"> </w:t>
      </w:r>
    </w:p>
    <w:p>
      <w:pPr>
        <w:pStyle w:val="12"/>
        <w:jc w:val="both"/>
        <w:rPr/>
      </w:pPr>
      <w:r>
        <w:rPr>
          <w:rStyle w:val="Style17"/>
          <w:rFonts w:ascii="Times New Roman" w:hAnsi="Times New Roman"/>
          <w:b w:val="false"/>
          <w:bCs w:val="false"/>
          <w:i w:val="false"/>
          <w:color w:val="000000"/>
          <w:sz w:val="24"/>
          <w:szCs w:val="24"/>
          <w:shd w:fill="auto" w:val="clear"/>
          <w:lang w:val="ru-RU"/>
        </w:rPr>
        <w:t>Закупаемая продукция предназначена для выполнения работ на Волжской ГЭС для исполнения проекта №</w:t>
      </w:r>
      <w:r>
        <w:rPr>
          <w:rStyle w:val="Style17"/>
          <w:rFonts w:eastAsia="Calibri" w:cs="Times New Roman" w:ascii="Times New Roman" w:hAnsi="Times New Roman"/>
          <w:b w:val="false"/>
          <w:bCs w:val="false"/>
          <w:i w:val="false"/>
          <w:color w:val="000000"/>
          <w:kern w:val="0"/>
          <w:sz w:val="24"/>
          <w:szCs w:val="24"/>
          <w:shd w:fill="auto" w:val="clear"/>
          <w:lang w:val="ru-RU" w:eastAsia="ru-RU" w:bidi="ar-SA"/>
        </w:rPr>
        <w:t xml:space="preserve"> [ТПиР_ВолГЭС_3-ТПиР-БЕЗ-2026](КСБ)Разработка раб.документации,монтаж заграждения защитного здания КРУЭ-500кВ Волжской ГЭС планируемый к заключению между филиалом ПАО «РусГидро» - Волжская ГЭС</w:t>
      </w:r>
      <w:r>
        <w:rPr>
          <w:rStyle w:val="Style17"/>
          <w:rFonts w:ascii="Times New Roman" w:hAnsi="Times New Roman"/>
          <w:b w:val="false"/>
          <w:bCs w:val="false"/>
          <w:i w:val="false"/>
          <w:color w:val="000000"/>
          <w:sz w:val="24"/>
          <w:szCs w:val="24"/>
          <w:shd w:fill="auto" w:val="clear"/>
          <w:lang w:val="ru-RU"/>
        </w:rPr>
        <w:t>» и Волжским филиалом АО «Гидроремонт-ВКК».</w:t>
      </w:r>
    </w:p>
    <w:p>
      <w:pPr>
        <w:pStyle w:val="Normal"/>
        <w:keepNext w:val="true"/>
        <w:keepLines/>
        <w:numPr>
          <w:ilvl w:val="0"/>
          <w:numId w:val="0"/>
        </w:numPr>
        <w:spacing w:lineRule="auto" w:line="240" w:before="120" w:after="60"/>
        <w:ind w:left="357" w:hanging="357"/>
        <w:jc w:val="center"/>
        <w:outlineLvl w:val="0"/>
        <w:rPr>
          <w:sz w:val="24"/>
          <w:szCs w:val="24"/>
        </w:rPr>
      </w:pPr>
      <w:bookmarkStart w:id="2" w:name="_Toc75446573"/>
      <w:bookmarkStart w:id="3" w:name="_Toc51339693"/>
      <w:r>
        <w:rPr>
          <w:rFonts w:ascii="Times New Roman" w:hAnsi="Times New Roman"/>
          <w:b/>
          <w:iCs/>
          <w:sz w:val="24"/>
          <w:szCs w:val="24"/>
          <w:lang w:val="x-none" w:eastAsia="x-none"/>
        </w:rPr>
        <w:t>Требования к продукции</w:t>
      </w:r>
      <w:bookmarkEnd w:id="2"/>
      <w:bookmarkEnd w:id="3"/>
    </w:p>
    <w:p>
      <w:pPr>
        <w:pStyle w:val="Normal"/>
        <w:keepNext w:val="true"/>
        <w:numPr>
          <w:ilvl w:val="0"/>
          <w:numId w:val="0"/>
        </w:numPr>
        <w:spacing w:lineRule="auto" w:line="240" w:before="120" w:after="60"/>
        <w:ind w:left="432" w:hanging="432"/>
        <w:outlineLvl w:val="3"/>
        <w:rPr>
          <w:sz w:val="24"/>
          <w:szCs w:val="24"/>
        </w:rPr>
      </w:pPr>
      <w:bookmarkStart w:id="4" w:name="_Toc75446574"/>
      <w:r>
        <w:rPr>
          <w:rFonts w:ascii="Times New Roman" w:hAnsi="Times New Roman"/>
          <w:b/>
          <w:sz w:val="24"/>
          <w:szCs w:val="24"/>
          <w:lang w:eastAsia="ru-RU"/>
        </w:rPr>
        <w:t>2.1 Требования к объемам и срокам поставки</w:t>
      </w:r>
      <w:bookmarkEnd w:id="4"/>
    </w:p>
    <w:p>
      <w:pPr>
        <w:pStyle w:val="Normal"/>
        <w:keepNext w:val="true"/>
        <w:numPr>
          <w:ilvl w:val="0"/>
          <w:numId w:val="0"/>
        </w:numPr>
        <w:spacing w:lineRule="auto" w:line="240" w:before="120" w:after="60"/>
        <w:ind w:left="1224" w:hanging="504"/>
        <w:outlineLvl w:val="2"/>
        <w:rPr>
          <w:sz w:val="24"/>
          <w:szCs w:val="24"/>
        </w:rPr>
      </w:pPr>
      <w:bookmarkStart w:id="5" w:name="_Toc75446575"/>
      <w:r>
        <w:rPr>
          <w:rFonts w:ascii="Times New Roman" w:hAnsi="Times New Roman"/>
          <w:b/>
          <w:sz w:val="24"/>
          <w:szCs w:val="24"/>
          <w:lang w:eastAsia="ru-RU"/>
        </w:rPr>
        <w:t>2.1.1.</w:t>
      </w:r>
      <w:r>
        <w:rPr>
          <w:rFonts w:ascii="Times New Roman" w:hAnsi="Times New Roman"/>
          <w:b/>
          <w:sz w:val="24"/>
          <w:szCs w:val="24"/>
          <w:lang w:val="en-US" w:eastAsia="ru-RU"/>
        </w:rPr>
        <w:t xml:space="preserve"> </w:t>
      </w:r>
      <w:r>
        <w:rPr>
          <w:rFonts w:ascii="Times New Roman" w:hAnsi="Times New Roman"/>
          <w:b/>
          <w:sz w:val="24"/>
          <w:szCs w:val="24"/>
          <w:lang w:eastAsia="ru-RU"/>
        </w:rPr>
        <w:t>Перечень и объем закупаемой продукции</w:t>
      </w:r>
      <w:bookmarkEnd w:id="5"/>
    </w:p>
    <w:p>
      <w:pPr>
        <w:pStyle w:val="Normal"/>
        <w:keepNext w:val="true"/>
        <w:keepLines/>
        <w:numPr>
          <w:ilvl w:val="0"/>
          <w:numId w:val="0"/>
        </w:numPr>
        <w:spacing w:lineRule="auto" w:line="240" w:before="240" w:after="60"/>
        <w:ind w:left="0" w:hanging="0"/>
        <w:outlineLvl w:val="0"/>
        <w:rPr>
          <w:sz w:val="24"/>
          <w:szCs w:val="24"/>
        </w:rPr>
      </w:pPr>
      <w:bookmarkStart w:id="6" w:name="_Toc75446576"/>
      <w:bookmarkStart w:id="7" w:name="_Toc51339695"/>
      <w:r>
        <w:rPr>
          <w:rFonts w:ascii="Times New Roman" w:hAnsi="Times New Roman"/>
          <w:b/>
          <w:sz w:val="24"/>
          <w:szCs w:val="24"/>
          <w:lang w:eastAsia="ru-RU"/>
        </w:rPr>
        <w:t xml:space="preserve">Таблица 1.1 Перечень </w:t>
      </w:r>
      <w:bookmarkEnd w:id="7"/>
      <w:r>
        <w:rPr>
          <w:rFonts w:ascii="Times New Roman" w:hAnsi="Times New Roman"/>
          <w:b/>
          <w:sz w:val="24"/>
          <w:szCs w:val="24"/>
          <w:lang w:eastAsia="ru-RU"/>
        </w:rPr>
        <w:t>и объем закупаемой продукции</w:t>
      </w:r>
      <w:bookmarkEnd w:id="6"/>
    </w:p>
    <w:tbl>
      <w:tblPr>
        <w:tblW w:w="9921" w:type="dxa"/>
        <w:jc w:val="left"/>
        <w:tblInd w:w="-5" w:type="dxa"/>
        <w:tblLayout w:type="fixed"/>
        <w:tblCellMar>
          <w:top w:w="28" w:type="dxa"/>
          <w:left w:w="108" w:type="dxa"/>
          <w:bottom w:w="28" w:type="dxa"/>
          <w:right w:w="108" w:type="dxa"/>
        </w:tblCellMar>
      </w:tblPr>
      <w:tblGrid>
        <w:gridCol w:w="666"/>
        <w:gridCol w:w="6832"/>
        <w:gridCol w:w="1233"/>
        <w:gridCol w:w="1189"/>
      </w:tblGrid>
      <w:tr>
        <w:trPr/>
        <w:tc>
          <w:tcPr>
            <w:tcW w:w="666"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lineRule="auto" w:line="271" w:before="0" w:after="200"/>
              <w:jc w:val="center"/>
              <w:rPr>
                <w:sz w:val="24"/>
                <w:szCs w:val="24"/>
              </w:rPr>
            </w:pPr>
            <w:r>
              <w:rPr>
                <w:color w:val="000000"/>
                <w:sz w:val="24"/>
                <w:szCs w:val="24"/>
              </w:rPr>
              <w:t xml:space="preserve">№ </w:t>
            </w:r>
            <w:r>
              <w:rPr>
                <w:rFonts w:ascii="Times New Roman" w:hAnsi="Times New Roman"/>
                <w:color w:val="000000"/>
                <w:sz w:val="24"/>
                <w:szCs w:val="24"/>
              </w:rPr>
              <w:t>п.п.</w:t>
            </w:r>
          </w:p>
        </w:tc>
        <w:tc>
          <w:tcPr>
            <w:tcW w:w="6832"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Наименование</w:t>
            </w:r>
          </w:p>
        </w:tc>
        <w:tc>
          <w:tcPr>
            <w:tcW w:w="1233" w:type="dxa"/>
            <w:tcBorders>
              <w:top w:val="single" w:sz="4" w:space="0" w:color="000000"/>
              <w:bottom w:val="single" w:sz="4" w:space="0" w:color="000000"/>
              <w:right w:val="single" w:sz="4" w:space="0" w:color="000000"/>
            </w:tcBorders>
            <w:shd w:fill="FFFFFF" w:val="clear"/>
            <w:tcMar>
              <w:left w:w="0" w:type="dxa"/>
            </w:tcM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Ед.изм.</w:t>
            </w:r>
          </w:p>
        </w:tc>
        <w:tc>
          <w:tcPr>
            <w:tcW w:w="1189" w:type="dxa"/>
            <w:tcBorders>
              <w:top w:val="single" w:sz="4" w:space="0" w:color="000000"/>
              <w:bottom w:val="single" w:sz="4" w:space="0" w:color="000000"/>
              <w:right w:val="single" w:sz="4" w:space="0" w:color="000000"/>
            </w:tcBorders>
            <w:shd w:fill="FFFFFF" w:val="clear"/>
            <w:tcMar>
              <w:left w:w="0" w:type="dxa"/>
            </w:tcMar>
            <w:vAlign w:val="center"/>
          </w:tcPr>
          <w:p>
            <w:pPr>
              <w:pStyle w:val="Style23"/>
              <w:widowControl w:val="false"/>
              <w:spacing w:lineRule="auto" w:line="271" w:before="0" w:after="200"/>
              <w:jc w:val="center"/>
              <w:rPr>
                <w:sz w:val="24"/>
                <w:szCs w:val="24"/>
              </w:rPr>
            </w:pPr>
            <w:r>
              <w:rPr>
                <w:rFonts w:ascii="Times New Roman" w:hAnsi="Times New Roman"/>
                <w:color w:val="000000"/>
                <w:sz w:val="24"/>
                <w:szCs w:val="24"/>
              </w:rPr>
              <w:t>Кол-во</w:t>
            </w:r>
          </w:p>
        </w:tc>
      </w:tr>
      <w:tr>
        <w:trPr/>
        <w:tc>
          <w:tcPr>
            <w:tcW w:w="666" w:type="dxa"/>
            <w:tcBorders>
              <w:left w:val="single" w:sz="4" w:space="0" w:color="000000"/>
              <w:bottom w:val="single" w:sz="4" w:space="0" w:color="000000"/>
              <w:right w:val="single" w:sz="4" w:space="0" w:color="000000"/>
            </w:tcBorders>
            <w:tcMar>
              <w:top w:w="0" w:type="dxa"/>
            </w:tcMar>
            <w:vAlign w:val="center"/>
          </w:tcPr>
          <w:p>
            <w:pPr>
              <w:pStyle w:val="Style23"/>
              <w:widowControl w:val="false"/>
              <w:spacing w:lineRule="auto" w:line="271" w:before="0" w:after="200"/>
              <w:rPr>
                <w:sz w:val="24"/>
                <w:szCs w:val="24"/>
              </w:rPr>
            </w:pPr>
            <w:r>
              <w:rPr>
                <w:rFonts w:ascii="Times New Roman" w:hAnsi="Times New Roman"/>
                <w:color w:val="000000"/>
                <w:sz w:val="24"/>
                <w:szCs w:val="24"/>
              </w:rPr>
              <w:t>1.1</w:t>
            </w:r>
          </w:p>
        </w:tc>
        <w:tc>
          <w:tcPr>
            <w:tcW w:w="6832" w:type="dxa"/>
            <w:tcBorders>
              <w:left w:val="single" w:sz="4" w:space="0" w:color="000000"/>
              <w:bottom w:val="single" w:sz="4" w:space="0" w:color="000000"/>
              <w:right w:val="single" w:sz="4" w:space="0" w:color="000000"/>
            </w:tcBorders>
            <w:shd w:fill="FFFFFF" w:val="clear"/>
            <w:tcMar>
              <w:top w:w="0" w:type="dxa"/>
            </w:tcMar>
            <w:vAlign w:val="center"/>
          </w:tcPr>
          <w:p>
            <w:pPr>
              <w:pStyle w:val="12"/>
              <w:widowControl w:val="false"/>
              <w:shd w:val="clear" w:color="auto" w:fill="auto"/>
              <w:spacing w:lineRule="auto" w:line="264"/>
              <w:ind w:hanging="0"/>
              <w:jc w:val="center"/>
              <w:rPr/>
            </w:pPr>
            <w:r>
              <w:rPr/>
              <w:t xml:space="preserve">Арматура А500С 16 мм рифленая </w:t>
            </w:r>
          </w:p>
        </w:tc>
        <w:tc>
          <w:tcPr>
            <w:tcW w:w="1233"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sz w:val="24"/>
                <w:szCs w:val="24"/>
              </w:rPr>
            </w:pPr>
            <w:r>
              <w:rPr>
                <w:rFonts w:ascii="Times New Roman" w:hAnsi="Times New Roman"/>
                <w:color w:val="000000"/>
                <w:sz w:val="24"/>
                <w:szCs w:val="24"/>
              </w:rPr>
              <w:t>т</w:t>
            </w:r>
          </w:p>
        </w:tc>
        <w:tc>
          <w:tcPr>
            <w:tcW w:w="1189" w:type="dxa"/>
            <w:tcBorders>
              <w:bottom w:val="single" w:sz="4" w:space="0" w:color="000000"/>
              <w:right w:val="single" w:sz="4" w:space="0" w:color="000000"/>
            </w:tcBorders>
            <w:shd w:fill="FFFFFF" w:val="clear"/>
            <w:tcMar>
              <w:top w:w="0" w:type="dxa"/>
              <w:left w:w="0" w:type="dxa"/>
            </w:tcMar>
            <w:vAlign w:val="center"/>
          </w:tcPr>
          <w:p>
            <w:pPr>
              <w:pStyle w:val="Style23"/>
              <w:widowControl w:val="false"/>
              <w:spacing w:before="0" w:after="200"/>
              <w:jc w:val="center"/>
              <w:rPr>
                <w:sz w:val="24"/>
                <w:szCs w:val="24"/>
              </w:rPr>
            </w:pPr>
            <w:r>
              <w:rPr>
                <w:rFonts w:ascii="Times New Roman" w:hAnsi="Times New Roman"/>
                <w:color w:val="000000"/>
                <w:sz w:val="24"/>
                <w:szCs w:val="24"/>
              </w:rPr>
              <w:t>7,515</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 xml:space="preserve">Таблица 2.1 Требования по срокам поставки продукции </w:t>
      </w:r>
    </w:p>
    <w:tbl>
      <w:tblPr>
        <w:tblW w:w="9930" w:type="dxa"/>
        <w:jc w:val="left"/>
        <w:tblInd w:w="8" w:type="dxa"/>
        <w:tblLayout w:type="fixed"/>
        <w:tblCellMar>
          <w:top w:w="0" w:type="dxa"/>
          <w:left w:w="108" w:type="dxa"/>
          <w:bottom w:w="0" w:type="dxa"/>
          <w:right w:w="108" w:type="dxa"/>
        </w:tblCellMar>
        <w:tblLook w:val="04a0" w:noHBand="0" w:noVBand="1" w:firstColumn="1" w:lastRow="0" w:lastColumn="0" w:firstRow="1"/>
      </w:tblPr>
      <w:tblGrid>
        <w:gridCol w:w="834"/>
        <w:gridCol w:w="4266"/>
        <w:gridCol w:w="2324"/>
        <w:gridCol w:w="2505"/>
      </w:tblGrid>
      <w:tr>
        <w:trPr/>
        <w:tc>
          <w:tcPr>
            <w:tcW w:w="8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4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продукции / партии продукции</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Требования к началу срока поставки продукции</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Требования к окончанию срока поставки продукции</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1</w:t>
            </w:r>
          </w:p>
        </w:tc>
        <w:tc>
          <w:tcPr>
            <w:tcW w:w="4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2</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3</w:t>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ind w:left="57" w:right="57" w:hanging="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4</w:t>
            </w:r>
          </w:p>
        </w:tc>
      </w:tr>
      <w:tr>
        <w:trPr/>
        <w:tc>
          <w:tcPr>
            <w:tcW w:w="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1</w:t>
            </w:r>
          </w:p>
        </w:tc>
        <w:tc>
          <w:tcPr>
            <w:tcW w:w="4266" w:type="dxa"/>
            <w:tcBorders>
              <w:top w:val="single" w:sz="4" w:space="0" w:color="000000"/>
              <w:left w:val="single" w:sz="4" w:space="0" w:color="000000"/>
              <w:bottom w:val="single" w:sz="4" w:space="0" w:color="000000"/>
              <w:right w:val="single" w:sz="4" w:space="0" w:color="000000"/>
            </w:tcBorders>
            <w:shd w:fill="FFFFFF" w:val="clear"/>
          </w:tcPr>
          <w:p>
            <w:pPr>
              <w:pStyle w:val="12"/>
              <w:widowControl w:val="false"/>
              <w:shd w:val="clear" w:color="auto" w:fill="auto"/>
              <w:spacing w:lineRule="auto" w:line="264"/>
              <w:ind w:hanging="0"/>
              <w:jc w:val="center"/>
              <w:rPr/>
            </w:pPr>
            <w:r>
              <w:rPr>
                <w:rStyle w:val="Style17"/>
                <w:rFonts w:eastAsia="Calibri" w:cs="Times New Roman" w:ascii="Times New Roman" w:hAnsi="Times New Roman"/>
                <w:b w:val="false"/>
                <w:bCs w:val="false"/>
                <w:i w:val="false"/>
                <w:color w:val="000000"/>
                <w:kern w:val="0"/>
                <w:sz w:val="26"/>
                <w:szCs w:val="26"/>
                <w:shd w:fill="auto" w:val="clear"/>
                <w:lang w:val="ru-RU" w:eastAsia="ru-RU" w:bidi="ar-SA"/>
              </w:rPr>
              <w:t>Арматура А500С 16 мм рифленая</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sz w:val="24"/>
                <w:szCs w:val="24"/>
              </w:rPr>
              <w:t>С даты подписания договора</w:t>
            </w:r>
          </w:p>
        </w:tc>
        <w:tc>
          <w:tcPr>
            <w:tcW w:w="25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rPr>
            </w:pPr>
            <w:r>
              <w:rPr>
                <w:rFonts w:ascii="Times New Roman" w:hAnsi="Times New Roman"/>
                <w:color w:val="000000"/>
                <w:sz w:val="24"/>
                <w:szCs w:val="24"/>
              </w:rPr>
              <w:t>В течение 5 рабочих дней с даты подписания договора</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2.2. Требования к качеству продукции</w:t>
      </w:r>
    </w:p>
    <w:p>
      <w:pPr>
        <w:pStyle w:val="Normal"/>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 xml:space="preserve">Таблица 3. Требования к продукции </w:t>
      </w:r>
    </w:p>
    <w:p>
      <w:pPr>
        <w:pStyle w:val="Normal"/>
        <w:numPr>
          <w:ilvl w:val="0"/>
          <w:numId w:val="0"/>
        </w:numPr>
        <w:spacing w:lineRule="auto" w:line="240" w:before="240" w:after="60"/>
        <w:ind w:left="0" w:hanging="0"/>
        <w:outlineLvl w:val="0"/>
        <w:rPr>
          <w:sz w:val="24"/>
          <w:szCs w:val="24"/>
        </w:rPr>
      </w:pPr>
      <w:r>
        <w:rPr>
          <w:rFonts w:ascii="Times New Roman" w:hAnsi="Times New Roman"/>
          <w:sz w:val="24"/>
          <w:szCs w:val="24"/>
          <w:lang w:val="x-none" w:eastAsia="x-none"/>
        </w:rPr>
        <w:t>Наименование продукции: ОКПД2 29.20.21.110 Поставка контейнеров морских для нужд Волжского филиала АО «Гидроремонт-ВКК»</w:t>
      </w:r>
    </w:p>
    <w:tbl>
      <w:tblPr>
        <w:tblStyle w:val="aff9"/>
        <w:tblW w:w="997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882"/>
        <w:gridCol w:w="2778"/>
        <w:gridCol w:w="6314"/>
      </w:tblGrid>
      <w:tr>
        <w:trPr>
          <w:trHeight w:val="609" w:hRule="atLeast"/>
        </w:trPr>
        <w:tc>
          <w:tcPr>
            <w:tcW w:w="882"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 xml:space="preserve">№ </w:t>
            </w:r>
            <w:r>
              <w:rPr>
                <w:rFonts w:eastAsia="Calibri" w:cs="Times New Roman" w:ascii="Times New Roman" w:hAnsi="Times New Roman"/>
                <w:b/>
                <w:bCs/>
                <w:kern w:val="0"/>
                <w:sz w:val="24"/>
                <w:szCs w:val="24"/>
                <w:lang w:val="ru-RU" w:bidi="ar-SA"/>
              </w:rPr>
              <w:t>п/п</w:t>
            </w:r>
          </w:p>
        </w:tc>
        <w:tc>
          <w:tcPr>
            <w:tcW w:w="2778"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Наименование параметра</w:t>
            </w:r>
          </w:p>
        </w:tc>
        <w:tc>
          <w:tcPr>
            <w:tcW w:w="6314" w:type="dxa"/>
            <w:tcBorders/>
            <w:vAlign w:val="center"/>
          </w:tcPr>
          <w:p>
            <w:pPr>
              <w:pStyle w:val="Normal"/>
              <w:widowControl w:val="false"/>
              <w:suppressAutoHyphens w:val="true"/>
              <w:spacing w:lineRule="auto" w:line="240" w:before="0" w:after="0"/>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Требование заказчика</w:t>
            </w:r>
          </w:p>
        </w:tc>
      </w:tr>
      <w:tr>
        <w:trPr/>
        <w:tc>
          <w:tcPr>
            <w:tcW w:w="882"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kern w:val="0"/>
                <w:sz w:val="24"/>
                <w:szCs w:val="24"/>
                <w:lang w:val="ru-RU" w:bidi="ar-SA"/>
              </w:rPr>
              <w:t>1</w:t>
            </w:r>
          </w:p>
        </w:tc>
        <w:tc>
          <w:tcPr>
            <w:tcW w:w="2778"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6314"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r>
      <w:tr>
        <w:trPr/>
        <w:tc>
          <w:tcPr>
            <w:tcW w:w="882" w:type="dxa"/>
            <w:tcBorders/>
            <w:vAlign w:val="center"/>
          </w:tcPr>
          <w:p>
            <w:pPr>
              <w:pStyle w:val="ListParagraph"/>
              <w:widowControl w:val="false"/>
              <w:numPr>
                <w:ilvl w:val="0"/>
                <w:numId w:val="1"/>
              </w:numPr>
              <w:suppressAutoHyphens w:val="true"/>
              <w:spacing w:lineRule="auto" w:line="240" w:before="0" w:after="0"/>
              <w:contextualSpacing/>
              <w:jc w:val="center"/>
              <w:rPr>
                <w:rFonts w:ascii="Times New Roman" w:hAnsi="Times New Roman"/>
                <w:sz w:val="24"/>
                <w:szCs w:val="24"/>
              </w:rPr>
            </w:pPr>
            <w:r>
              <w:rPr>
                <w:rFonts w:ascii="Times New Roman" w:hAnsi="Times New Roman"/>
                <w:sz w:val="24"/>
                <w:szCs w:val="24"/>
              </w:rPr>
            </w:r>
          </w:p>
        </w:tc>
        <w:tc>
          <w:tcPr>
            <w:tcW w:w="9092" w:type="dxa"/>
            <w:gridSpan w:val="2"/>
            <w:tcBorders/>
            <w:vAlign w:val="center"/>
          </w:tcPr>
          <w:p>
            <w:pPr>
              <w:pStyle w:val="12"/>
              <w:widowControl w:val="false"/>
              <w:shd w:val="clear" w:color="auto" w:fill="auto"/>
              <w:spacing w:lineRule="auto" w:line="264"/>
              <w:ind w:hanging="0"/>
              <w:jc w:val="left"/>
              <w:rPr/>
            </w:pPr>
            <w:r>
              <w:rPr>
                <w:rFonts w:eastAsia="Calibri" w:cs="Times New Roman" w:ascii="Times New Roman" w:hAnsi="Times New Roman"/>
                <w:b/>
                <w:bCs/>
                <w:kern w:val="0"/>
                <w:sz w:val="24"/>
                <w:szCs w:val="24"/>
                <w:lang w:val="ru-RU" w:bidi="ar-SA"/>
              </w:rPr>
              <w:t xml:space="preserve">Арматура А500С 16 мм рифленая </w:t>
            </w:r>
          </w:p>
        </w:tc>
      </w:tr>
      <w:tr>
        <w:trPr/>
        <w:tc>
          <w:tcPr>
            <w:tcW w:w="882" w:type="dxa"/>
            <w:tcBorders/>
            <w:vAlign w:val="center"/>
          </w:tcPr>
          <w:p>
            <w:pPr>
              <w:pStyle w:val="ListParagraph"/>
              <w:widowControl w:val="false"/>
              <w:numPr>
                <w:ilvl w:val="0"/>
                <w:numId w:val="0"/>
              </w:numPr>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1.1</w:t>
            </w:r>
          </w:p>
        </w:tc>
        <w:tc>
          <w:tcPr>
            <w:tcW w:w="2778"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Длинна, мм</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11700</w:t>
            </w:r>
          </w:p>
        </w:tc>
      </w:tr>
      <w:tr>
        <w:trPr/>
        <w:tc>
          <w:tcPr>
            <w:tcW w:w="882" w:type="dxa"/>
            <w:tcBorders/>
            <w:vAlign w:val="center"/>
          </w:tcPr>
          <w:p>
            <w:pPr>
              <w:pStyle w:val="ListParagraph"/>
              <w:widowControl w:val="false"/>
              <w:numPr>
                <w:ilvl w:val="0"/>
                <w:numId w:val="0"/>
              </w:numPr>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1.2</w:t>
            </w:r>
          </w:p>
        </w:tc>
        <w:tc>
          <w:tcPr>
            <w:tcW w:w="2778"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Диаметр, мм</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16</w:t>
            </w:r>
          </w:p>
        </w:tc>
      </w:tr>
      <w:tr>
        <w:trPr>
          <w:trHeight w:val="181" w:hRule="atLeast"/>
        </w:trPr>
        <w:tc>
          <w:tcPr>
            <w:tcW w:w="882"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2778"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2"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1.4</w:t>
            </w:r>
          </w:p>
        </w:tc>
        <w:tc>
          <w:tcPr>
            <w:tcW w:w="2778"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eastAsia="Calibri" w:cs="Times New Roman" w:ascii="Times New Roman" w:hAnsi="Times New Roman"/>
                <w:kern w:val="0"/>
                <w:sz w:val="24"/>
                <w:szCs w:val="24"/>
                <w:lang w:val="ru-RU" w:bidi="ar-SA"/>
              </w:rPr>
              <w:t>Соответствие стандарту</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color w:val="000000"/>
                <w:kern w:val="0"/>
                <w:sz w:val="24"/>
                <w:szCs w:val="24"/>
                <w:lang w:val="ru-RU" w:eastAsia="ru-RU" w:bidi="ar-SA"/>
              </w:rPr>
              <w:t xml:space="preserve"> </w:t>
            </w:r>
            <w:r>
              <w:rPr>
                <w:rFonts w:eastAsia="Calibri" w:cs="Times New Roman" w:ascii="Times New Roman" w:hAnsi="Times New Roman"/>
                <w:color w:val="000000"/>
                <w:kern w:val="0"/>
                <w:sz w:val="24"/>
                <w:szCs w:val="24"/>
                <w:lang w:val="ru-RU" w:eastAsia="ru-RU" w:bidi="ar-SA"/>
              </w:rPr>
              <w:t>ГОСТ Р 52544-2006</w:t>
            </w:r>
          </w:p>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882"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1.5</w:t>
            </w:r>
          </w:p>
        </w:tc>
        <w:tc>
          <w:tcPr>
            <w:tcW w:w="2778"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Товарное обозначение</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 xml:space="preserve">Арматура 16 А500С </w:t>
            </w:r>
          </w:p>
        </w:tc>
      </w:tr>
      <w:tr>
        <w:trPr/>
        <w:tc>
          <w:tcPr>
            <w:tcW w:w="882"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kern w:val="0"/>
                <w:sz w:val="24"/>
                <w:szCs w:val="24"/>
                <w:lang w:val="ru-RU" w:bidi="ar-SA"/>
              </w:rPr>
              <w:t>1.6</w:t>
            </w:r>
          </w:p>
        </w:tc>
        <w:tc>
          <w:tcPr>
            <w:tcW w:w="2778" w:type="dxa"/>
            <w:tcBorders/>
            <w:shd w:color="auto" w:fill="auto" w:val="clear"/>
          </w:tcPr>
          <w:p>
            <w:pPr>
              <w:pStyle w:val="Normal"/>
              <w:widowControl w:val="false"/>
              <w:suppressAutoHyphens w:val="true"/>
              <w:spacing w:lineRule="auto" w:line="240" w:before="0" w:after="0"/>
              <w:jc w:val="left"/>
              <w:rPr>
                <w:rFonts w:ascii="Times New Roman" w:hAnsi="Times New Roman"/>
                <w:sz w:val="24"/>
                <w:szCs w:val="24"/>
              </w:rPr>
            </w:pPr>
            <w:r>
              <w:rPr>
                <w:rFonts w:ascii="Times New Roman" w:hAnsi="Times New Roman"/>
                <w:sz w:val="24"/>
                <w:szCs w:val="24"/>
              </w:rPr>
              <w:t>Масса брутто, кг</w:t>
            </w:r>
          </w:p>
        </w:tc>
        <w:tc>
          <w:tcPr>
            <w:tcW w:w="6314" w:type="dxa"/>
            <w:tcBorders/>
            <w:shd w:color="auto" w:fill="auto" w:val="clear"/>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t>7 515</w:t>
            </w:r>
          </w:p>
        </w:tc>
      </w:tr>
      <w:tr>
        <w:trPr/>
        <w:tc>
          <w:tcPr>
            <w:tcW w:w="882" w:type="dxa"/>
            <w:tcBorders/>
            <w:vAlign w:val="center"/>
          </w:tcPr>
          <w:p>
            <w:pPr>
              <w:pStyle w:val="ListParagraph"/>
              <w:widowControl w:val="false"/>
              <w:suppressAutoHyphens w:val="true"/>
              <w:spacing w:lineRule="auto" w:line="240" w:before="0" w:after="0"/>
              <w:ind w:left="737" w:hanging="794"/>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9092" w:type="dxa"/>
            <w:gridSpan w:val="2"/>
            <w:tcBorders/>
            <w:vAlign w:val="center"/>
          </w:tcPr>
          <w:p>
            <w:pPr>
              <w:pStyle w:val="Normal"/>
              <w:widowControl w:val="false"/>
              <w:suppressAutoHyphens w:val="true"/>
              <w:spacing w:lineRule="auto" w:line="240" w:before="0" w:after="0"/>
              <w:jc w:val="left"/>
              <w:rPr>
                <w:sz w:val="24"/>
                <w:szCs w:val="24"/>
              </w:rPr>
            </w:pPr>
            <w:r>
              <w:rPr>
                <w:rFonts w:eastAsia="Calibri" w:cs="Times New Roman" w:ascii="Times New Roman" w:hAnsi="Times New Roman"/>
                <w:b/>
                <w:kern w:val="0"/>
                <w:sz w:val="24"/>
                <w:szCs w:val="24"/>
                <w:lang w:val="ru-RU" w:bidi="ar-SA"/>
              </w:rPr>
              <w:t>Требования к гарантиям, гарантийному и послегарантийному обслуживанию</w:t>
            </w:r>
          </w:p>
        </w:tc>
      </w:tr>
      <w:tr>
        <w:trPr>
          <w:trHeight w:val="1448" w:hRule="atLeast"/>
        </w:trPr>
        <w:tc>
          <w:tcPr>
            <w:tcW w:w="882" w:type="dxa"/>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2.1</w:t>
            </w:r>
          </w:p>
        </w:tc>
        <w:tc>
          <w:tcPr>
            <w:tcW w:w="9092" w:type="dxa"/>
            <w:gridSpan w:val="2"/>
            <w:tcBorders/>
          </w:tcPr>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Поставщик обязан установить на продукцию гарантийный срок 36 (Тридцать шесть)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Установленный в отношении Продукции Гарантийный срок распространяется на все составные части и комплектующие Продукции.</w:t>
            </w:r>
          </w:p>
        </w:tc>
      </w:tr>
      <w:tr>
        <w:trPr/>
        <w:tc>
          <w:tcPr>
            <w:tcW w:w="882" w:type="dxa"/>
            <w:tcBorders/>
            <w:vAlign w:val="center"/>
          </w:tcPr>
          <w:p>
            <w:pPr>
              <w:pStyle w:val="ListParagraph"/>
              <w:widowControl w:val="false"/>
              <w:suppressAutoHyphens w:val="true"/>
              <w:spacing w:lineRule="auto" w:line="240" w:before="0" w:after="0"/>
              <w:ind w:left="737" w:hanging="850"/>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c>
          <w:tcPr>
            <w:tcW w:w="9092" w:type="dxa"/>
            <w:gridSpan w:val="2"/>
            <w:tcBorders/>
            <w:vAlign w:val="center"/>
          </w:tcPr>
          <w:p>
            <w:pPr>
              <w:pStyle w:val="Normal"/>
              <w:widowControl w:val="false"/>
              <w:suppressAutoHyphens w:val="true"/>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bidi="ar-SA"/>
              </w:rPr>
              <w:t>Требования к комплектации и документам, поставляемым вместе с продукцией</w:t>
            </w:r>
          </w:p>
        </w:tc>
      </w:tr>
      <w:tr>
        <w:trPr/>
        <w:tc>
          <w:tcPr>
            <w:tcW w:w="882" w:type="dxa"/>
            <w:tcBorders/>
            <w:vAlign w:val="center"/>
          </w:tcPr>
          <w:p>
            <w:pPr>
              <w:pStyle w:val="ListParagraph"/>
              <w:widowControl w:val="false"/>
              <w:suppressAutoHyphens w:val="true"/>
              <w:spacing w:lineRule="auto" w:line="240" w:before="0" w:after="0"/>
              <w:ind w:left="-117" w:hanging="0"/>
              <w:contextualSpacing/>
              <w:jc w:val="center"/>
              <w:rPr>
                <w:highlight w:val="none"/>
                <w:shd w:fill="auto" w:val="clear"/>
              </w:rPr>
            </w:pPr>
            <w:r>
              <w:rPr>
                <w:rFonts w:eastAsia="Calibri" w:cs="Times New Roman" w:ascii="Times New Roman" w:hAnsi="Times New Roman"/>
                <w:kern w:val="0"/>
                <w:sz w:val="24"/>
                <w:szCs w:val="24"/>
                <w:shd w:fill="auto" w:val="clear"/>
                <w:lang w:val="ru-RU" w:bidi="ar-SA"/>
              </w:rPr>
              <w:t>3.1</w:t>
            </w:r>
          </w:p>
        </w:tc>
        <w:tc>
          <w:tcPr>
            <w:tcW w:w="9092" w:type="dxa"/>
            <w:gridSpan w:val="2"/>
            <w:tcBorders/>
          </w:tcPr>
          <w:p>
            <w:pPr>
              <w:pStyle w:val="Normal"/>
              <w:keepNext w:val="true"/>
              <w:widowControl w:val="false"/>
              <w:numPr>
                <w:ilvl w:val="0"/>
                <w:numId w:val="0"/>
              </w:numPr>
              <w:spacing w:lineRule="auto" w:line="240" w:before="62" w:after="62"/>
              <w:ind w:left="0" w:hanging="0"/>
              <w:outlineLvl w:val="3"/>
              <w:rPr>
                <w:highlight w:val="none"/>
                <w:shd w:fill="auto" w:val="clear"/>
              </w:rPr>
            </w:pPr>
            <w:r>
              <w:rPr>
                <w:rFonts w:eastAsia="Calibri" w:cs="Times New Roman" w:ascii="Times New Roman" w:hAnsi="Times New Roman"/>
                <w:kern w:val="0"/>
                <w:sz w:val="24"/>
                <w:szCs w:val="24"/>
                <w:shd w:fill="auto" w:val="clear"/>
                <w:lang w:val="ru-RU" w:eastAsia="ru-RU" w:bidi="ar-SA"/>
              </w:rPr>
              <w:t>Поставщик должен предоставить копии документов, подтверждающих соответствие предлагаемой продукции обязательным требованиям нормативных документов, действующих в РФ, (сертификаты соответствия, документы о качестве и другие), если обязательность такого подтверждения соответствия установлена нормативными документами РФ.</w:t>
            </w:r>
          </w:p>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eastAsia="ru-RU" w:bidi="ar-SA"/>
              </w:rPr>
              <w:t>Акт периодического освидетельствования грузового(ых) контейнера(ов) РМРС.</w:t>
            </w:r>
          </w:p>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Товарную накладную унифицированной формы ТОРГ-12(УПД) в 2 экз.</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4</w:t>
            </w:r>
          </w:p>
        </w:tc>
        <w:tc>
          <w:tcPr>
            <w:tcW w:w="9092" w:type="dxa"/>
            <w:gridSpan w:val="2"/>
            <w:tcBorders>
              <w:top w:val="nil"/>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b/>
                <w:bCs/>
                <w:kern w:val="0"/>
                <w:sz w:val="24"/>
                <w:szCs w:val="24"/>
                <w:shd w:fill="auto" w:val="clear"/>
                <w:lang w:val="ru-RU" w:bidi="ar-SA"/>
              </w:rPr>
              <w:t>Требования к доставке,  маркировке, упаковке, транспортировке, перемещению, условиям хранения, приемке и испытаниям</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4.1</w:t>
            </w:r>
          </w:p>
        </w:tc>
        <w:tc>
          <w:tcPr>
            <w:tcW w:w="9092" w:type="dxa"/>
            <w:gridSpan w:val="2"/>
            <w:tcBorders>
              <w:top w:val="nil"/>
            </w:tcBorders>
          </w:tcPr>
          <w:p>
            <w:pPr>
              <w:pStyle w:val="Normal"/>
              <w:widowControl w:val="false"/>
              <w:suppressAutoHyphens w:val="true"/>
              <w:spacing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Место поставки:</w:t>
            </w:r>
            <w:r>
              <w:rPr>
                <w:rFonts w:eastAsia="Calibri" w:cs="Times New Roman"/>
                <w:kern w:val="0"/>
                <w:sz w:val="24"/>
                <w:szCs w:val="24"/>
                <w:shd w:fill="auto" w:val="clear"/>
                <w:lang w:val="ru-RU" w:bidi="ar-SA"/>
              </w:rPr>
              <w:t xml:space="preserve"> </w:t>
            </w:r>
            <w:r>
              <w:rPr>
                <w:rFonts w:eastAsia="Times New Roman" w:cs="Times New Roman" w:ascii="Times New Roman" w:hAnsi="Times New Roman"/>
                <w:kern w:val="0"/>
                <w:sz w:val="24"/>
                <w:szCs w:val="24"/>
                <w:shd w:fill="auto" w:val="clear"/>
                <w:lang w:val="ru-RU" w:eastAsia="ru-RU" w:bidi="ar-SA"/>
              </w:rPr>
              <w:t>404130, Волгоградская обл., г.Волжский, пр-т Ленина 1А .</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4.2</w:t>
            </w:r>
          </w:p>
        </w:tc>
        <w:tc>
          <w:tcPr>
            <w:tcW w:w="9092" w:type="dxa"/>
            <w:gridSpan w:val="2"/>
            <w:tcBorders>
              <w:top w:val="nil"/>
            </w:tcBorders>
          </w:tcPr>
          <w:p>
            <w:pPr>
              <w:pStyle w:val="Normal"/>
              <w:widowControl w:val="false"/>
              <w:suppressAutoHyphens w:val="true"/>
              <w:spacing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Приемка продукции:</w:t>
            </w:r>
          </w:p>
          <w:p>
            <w:pPr>
              <w:pStyle w:val="Normal"/>
              <w:widowControl w:val="false"/>
              <w:suppressAutoHyphens w:val="true"/>
              <w:spacing w:before="0" w:after="0"/>
              <w:jc w:val="left"/>
              <w:rPr>
                <w:highlight w:val="none"/>
                <w:shd w:fill="auto" w:val="clear"/>
              </w:rPr>
            </w:pPr>
            <w:r>
              <w:rPr>
                <w:rFonts w:eastAsia="Times New Roman" w:cs="Times New Roman" w:ascii="Times New Roman" w:hAnsi="Times New Roman"/>
                <w:kern w:val="0"/>
                <w:sz w:val="24"/>
                <w:szCs w:val="24"/>
                <w:shd w:fill="auto" w:val="clear"/>
                <w:lang w:val="ru-RU" w:eastAsia="ru-RU" w:bidi="ar-SA"/>
              </w:rPr>
              <w:t>Только в рабочие дни с 9-00 до 11-00 и с 13-00 до 16-00</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4.3</w:t>
            </w:r>
          </w:p>
        </w:tc>
        <w:tc>
          <w:tcPr>
            <w:tcW w:w="9092"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4.4</w:t>
            </w:r>
          </w:p>
        </w:tc>
        <w:tc>
          <w:tcPr>
            <w:tcW w:w="9092"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Приемка товара по количеству и качеству производится Заказчиком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15.06.1965г. № П-6 и от 25.04.1966г. № П-7.</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Передача Товара Заказчика оформляется следующим комплектом документов: товарная (товарно-транспортная) накладная (унифицированная форма № ТОРГ-12), оформленная в 2-х экземплярах с печатью Поставщика, счет (счет-фактура), акт приема-передачи и прочие документы, необходимые при использовании его по назначению.</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Во всех случаях при приемке товара должен присутствовать представитель Поставщика, с доверенностью с правом передачи товара и правом подписи актов приемки-передачи товара. Заказчик вправе потребовать от представителя Поставщика подписать акт приемки-передачи товара.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Приемка товара по качеству, количеству и ассортименту производится в точном соответствии с характеристиками товара указанных в спецификации контракта, а также по сопроводительным документам, удостоверяющим качество и ассортимент  поставляемого товара.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При обнаружении несоответствия товара с описанием в спецификации к контракту, качества, количества, ассортимента, маркировки поступившего товара, требованиям стандартов, технических условий, контракту либо данным, указанным в маркировке и сопроводительных документах, удостоверяющих качество товара, Заказчик составляет акт с участием представителя Поставщика и не принимает данный товар.</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Отсутствие сопроводительных документов или некоторых из них дает право Заказчику не принимать товар. В этом случае составляется акт о качестве, количестве и комплектности поступившего товара и в акте указывается, какие документы отсутствуют.</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Если при приемке не присутствует представитель Поставщика с правом (доверенностью) передачи товара и подписи актов приемки-передачи товара Заказчик вправе вернуть товар с оформлением товарной накладной и акта-приемки передачи товара с отметкой о возврате.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 случае если у Заказчика возникают претензии по качеству поставляемого товара (обнаружение недостатков, дефектов), ему предоставляется право заявить о них в течение гарантийного срока на товар (при наличии).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Поставка считается осуществленной, а обязательства Поставщика по поставке Товара исполненными, с даты подписания акта приема-передачи Товара.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Право собственности на товар переходит от Поставщика к Заказчику с момента передачи товара и подписания акта приемки-передачи товара при наличии документов, предусмотренных для передачи при поставке товара. С этого момента на заказчика переходят все риски случайного повреждения и случайной гибели товара.</w:t>
            </w:r>
          </w:p>
        </w:tc>
      </w:tr>
      <w:tr>
        <w:trPr/>
        <w:tc>
          <w:tcPr>
            <w:tcW w:w="882" w:type="dxa"/>
            <w:tcBorders>
              <w:top w:val="nil"/>
            </w:tcBorders>
            <w:vAlign w:val="center"/>
          </w:tcPr>
          <w:p>
            <w:pPr>
              <w:pStyle w:val="ListParagraph"/>
              <w:widowControl w:val="false"/>
              <w:suppressAutoHyphens w:val="true"/>
              <w:spacing w:lineRule="auto" w:line="240" w:before="0" w:after="0"/>
              <w:ind w:left="0"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5.</w:t>
            </w:r>
          </w:p>
        </w:tc>
        <w:tc>
          <w:tcPr>
            <w:tcW w:w="9092" w:type="dxa"/>
            <w:gridSpan w:val="2"/>
            <w:tcBorders>
              <w:top w:val="nil"/>
            </w:tcBorders>
          </w:tcPr>
          <w:p>
            <w:pPr>
              <w:pStyle w:val="Normal"/>
              <w:widowControl w:val="false"/>
              <w:suppressAutoHyphens w:val="true"/>
              <w:spacing w:lineRule="auto" w:line="240" w:before="0" w:after="0"/>
              <w:jc w:val="left"/>
              <w:rPr>
                <w:highlight w:val="none"/>
                <w:shd w:fill="auto" w:val="clear"/>
              </w:rPr>
            </w:pPr>
            <w:r>
              <w:rPr>
                <w:rFonts w:eastAsia="Calibri" w:cs="Times New Roman" w:ascii="Times New Roman" w:hAnsi="Times New Roman"/>
                <w:b/>
                <w:bCs/>
                <w:kern w:val="0"/>
                <w:sz w:val="24"/>
                <w:szCs w:val="24"/>
                <w:shd w:fill="auto" w:val="clear"/>
                <w:lang w:val="ru-RU" w:bidi="ar-SA"/>
              </w:rPr>
              <w:t>Прочие (дополнительные) требования к продукции</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5.1</w:t>
            </w:r>
          </w:p>
        </w:tc>
        <w:tc>
          <w:tcPr>
            <w:tcW w:w="9092"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 xml:space="preserve">Продукция должна соответствовать требованиям: Технического регламента Таможенного союза «О безопасности машин и оборудования» ТР ТС 010/2011. Продукция может быть как новой так и бывшей в употреблении, в приемлемом для эксплуатации состоянии. </w:t>
            </w:r>
          </w:p>
          <w:p>
            <w:pPr>
              <w:pStyle w:val="Normal"/>
              <w:widowControl w:val="false"/>
              <w:suppressAutoHyphens w:val="true"/>
              <w:spacing w:lineRule="auto" w:line="240" w:before="0" w:after="0"/>
              <w:jc w:val="both"/>
              <w:rPr>
                <w:highlight w:val="none"/>
                <w:shd w:fill="auto" w:val="clear"/>
              </w:rPr>
            </w:pPr>
            <w:r>
              <w:rPr>
                <w:rFonts w:eastAsia="Calibri" w:cs="Times New Roman" w:ascii="Times New Roman" w:hAnsi="Times New Roman"/>
                <w:kern w:val="0"/>
                <w:sz w:val="24"/>
                <w:szCs w:val="24"/>
                <w:shd w:fill="auto" w:val="clear"/>
                <w:lang w:val="ru-RU" w:bidi="ar-SA"/>
              </w:rPr>
              <w:t xml:space="preserve"> </w:t>
            </w:r>
            <w:r>
              <w:rPr>
                <w:rFonts w:eastAsia="Calibri" w:cs="Times New Roman" w:ascii="Times New Roman" w:hAnsi="Times New Roman"/>
                <w:kern w:val="0"/>
                <w:sz w:val="24"/>
                <w:szCs w:val="24"/>
                <w:shd w:fill="auto" w:val="clear"/>
                <w:lang w:val="ru-RU" w:bidi="ar-SA"/>
              </w:rPr>
              <w:t>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r>
        <w:trPr/>
        <w:tc>
          <w:tcPr>
            <w:tcW w:w="882"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ascii="Times New Roman" w:hAnsi="Times New Roman"/>
                <w:sz w:val="24"/>
                <w:szCs w:val="24"/>
              </w:rPr>
              <w:t>5.2</w:t>
            </w:r>
          </w:p>
        </w:tc>
        <w:tc>
          <w:tcPr>
            <w:tcW w:w="9092" w:type="dxa"/>
            <w:gridSpan w:val="2"/>
            <w:tcBorders>
              <w:top w:val="nil"/>
            </w:tcBorders>
          </w:tcPr>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Отсутствие повреждений контейнера указанных в приложении №1 к ТТ</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Внешний вид отсутствие дыр повреждений, маслянных пятен, очагов коррозии;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Поставляемый Товар должен быть выпущенным не ранее 2010 года;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должен иметь четко читаемые идентификационные номера;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поставляется технически исправным, геометрия не нарушена; герметичный, полы ровные, двери исправно функционируют, уплотнительные   резинки на месте;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Целостность сварных швов;</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Дверь торцевая с исправным механизмом закрывания;</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Поверхность контейнера подвергнута антикоррозийной обработке;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Пол укреплен стальными балками с настланным на них фанерным настилом;</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В торце должны иметься две двери распашного типа, открывающиеся наружу;</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Поворотные механизмы должны быть кованными и оцинкованными (иметь антикоррозийную обработку);</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должен комплектоваться замками;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Контейнер не должен иметь вмятин в корпусе, повреждений, деформаций или иных дефектов, связанных с конструкцией или материалами из которых он изготовлен;</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Дверные створки и запирающие устройства (замки) должны функционировать должным образом, т. е. без заеданий и заклиниваний</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причинять вред имуществу Заказчика.</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Качество поставляемого товара должно соответствовать требованиям, установленным контрактом, действующим законодательством Российской Федерации, санитарным нормам и правилам, а также иным требованиям качества, безопасности жизни и здоровья, устанавливающими требования к качеству товаров данной категории, в том числе: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Федеральный Закон Российской Федерации 30.03.1999 № 52-ФЗ «О санитарно-эпидемиологическом благополучии населения»;</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Постановление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Федеральный закон Российской Федерации от 22 июля 2008 г. № 123-ФЗ «Технический регламент о требованиях пожарной безопасности».</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Поставляемый товар должен соответствовать техническим характеристикам, предъявляемым к товарам данной категории. Одновременно с передачей товара Поставщик передает Заказчику принадлежности к товару, а также относящиеся к нему документы на русском языке.</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Качественные характеристики поставляемого товара должны соответствовать показателям оригинального товара предприятия-изготовителя.</w:t>
            </w:r>
          </w:p>
          <w:p>
            <w:pPr>
              <w:pStyle w:val="Normal"/>
              <w:widowControl w:val="false"/>
              <w:suppressAutoHyphens w:val="true"/>
              <w:spacing w:lineRule="auto" w:line="240" w:before="0" w:after="0"/>
              <w:jc w:val="both"/>
              <w:rPr>
                <w:highlight w:val="none"/>
                <w:shd w:fill="auto" w:val="clear"/>
              </w:rPr>
            </w:pPr>
            <w:r>
              <w:rPr>
                <w:rFonts w:ascii="Times New Roman" w:hAnsi="Times New Roman"/>
                <w:sz w:val="24"/>
                <w:szCs w:val="24"/>
                <w:shd w:fill="auto" w:val="clear"/>
              </w:rPr>
              <w:t>- Поставляемый товар должен иметь сертификаты соответствия требованиям системы сертификации ГОСТ Р,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tc>
      </w:tr>
    </w:tbl>
    <w:p>
      <w:pPr>
        <w:pStyle w:val="Normal"/>
        <w:widowControl/>
        <w:suppressAutoHyphens w:val="true"/>
        <w:bidi w:val="0"/>
        <w:spacing w:lineRule="auto" w:line="276" w:before="0" w:after="200"/>
        <w:jc w:val="left"/>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76" w:before="0" w:after="200"/>
        <w:jc w:val="left"/>
        <w:rPr>
          <w:rFonts w:ascii="Times New Roman" w:hAnsi="Times New Roman"/>
          <w:sz w:val="24"/>
          <w:szCs w:val="24"/>
        </w:rPr>
      </w:pPr>
      <w:r>
        <w:rPr/>
      </w:r>
    </w:p>
    <w:sectPr>
      <w:headerReference w:type="even" r:id="rId2"/>
      <w:headerReference w:type="default" r:id="rId3"/>
      <w:headerReference w:type="first" r:id="rId4"/>
      <w:type w:val="nextPage"/>
      <w:pgSz w:w="11906" w:h="16838"/>
      <w:pgMar w:left="1134" w:right="851" w:gutter="0" w:header="680" w:top="1134" w:footer="0" w:bottom="42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16"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3291"/>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paragraph" w:styleId="Heading4">
    <w:name w:val="Heading 4"/>
    <w:basedOn w:val="Normal"/>
    <w:next w:val="Normal"/>
    <w:link w:val="4"/>
    <w:uiPriority w:val="9"/>
    <w:semiHidden/>
    <w:unhideWhenUsed/>
    <w:qFormat/>
    <w:rsid w:val="007e0e60"/>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Текст выноски Знак"/>
    <w:link w:val="BalloonText"/>
    <w:uiPriority w:val="99"/>
    <w:semiHidden/>
    <w:qFormat/>
    <w:rsid w:val="0053223e"/>
    <w:rPr>
      <w:rFonts w:ascii="Tahoma" w:hAnsi="Tahoma" w:cs="Tahoma"/>
      <w:sz w:val="16"/>
      <w:szCs w:val="16"/>
    </w:rPr>
  </w:style>
  <w:style w:type="character" w:styleId="Style6" w:customStyle="1">
    <w:name w:val="Верхний колонтитул Знак"/>
    <w:qFormat/>
    <w:rsid w:val="005c0949"/>
    <w:rPr>
      <w:rFonts w:ascii="Times New Roman" w:hAnsi="Times New Roman" w:eastAsia="Times New Roman"/>
      <w:sz w:val="24"/>
      <w:szCs w:val="24"/>
    </w:rPr>
  </w:style>
  <w:style w:type="character" w:styleId="Style7" w:customStyle="1">
    <w:name w:val="Текст сноски Знак"/>
    <w:semiHidden/>
    <w:qFormat/>
    <w:rsid w:val="005c0949"/>
    <w:rPr>
      <w:rFonts w:ascii="Times New Roman" w:hAnsi="Times New Roman" w:eastAsia="Times New Roman"/>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9"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0" w:customStyle="1">
    <w:name w:val="Основной текст Знак"/>
    <w:qFormat/>
    <w:rsid w:val="008f748e"/>
    <w:rPr>
      <w:sz w:val="22"/>
      <w:szCs w:val="22"/>
      <w:lang w:eastAsia="ar-SA"/>
    </w:rPr>
  </w:style>
  <w:style w:type="character" w:styleId="Style11" w:customStyle="1">
    <w:name w:val="Нижний колонтитул Знак"/>
    <w:uiPriority w:val="99"/>
    <w:qFormat/>
    <w:rsid w:val="00412015"/>
    <w:rPr>
      <w:sz w:val="22"/>
      <w:szCs w:val="22"/>
      <w:lang w:eastAsia="en-US"/>
    </w:rPr>
  </w:style>
  <w:style w:type="character" w:styleId="Style12" w:customStyle="1">
    <w:name w:val="Основной текст_"/>
    <w:link w:val="12"/>
    <w:uiPriority w:val="99"/>
    <w:qFormat/>
    <w:locked/>
    <w:rsid w:val="00412015"/>
    <w:rPr>
      <w:sz w:val="28"/>
      <w:szCs w:val="28"/>
      <w:shd w:fill="FFFFFF" w:val="clear"/>
    </w:rPr>
  </w:style>
  <w:style w:type="character" w:styleId="Style13"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4" w:customStyle="1">
    <w:name w:val="Текст примечания Знак"/>
    <w:link w:val="Annotationtext"/>
    <w:uiPriority w:val="99"/>
    <w:semiHidden/>
    <w:qFormat/>
    <w:rsid w:val="00e7294f"/>
    <w:rPr>
      <w:lang w:eastAsia="en-US"/>
    </w:rPr>
  </w:style>
  <w:style w:type="character" w:styleId="Style15" w:customStyle="1">
    <w:name w:val="Тема примечания Знак"/>
    <w:link w:val="Annotationsubject"/>
    <w:uiPriority w:val="99"/>
    <w:semiHidden/>
    <w:qFormat/>
    <w:rsid w:val="00e7294f"/>
    <w:rPr>
      <w:b/>
      <w:bCs/>
      <w:lang w:eastAsia="en-US"/>
    </w:rPr>
  </w:style>
  <w:style w:type="character" w:styleId="Strong1">
    <w:name w:val="Strong1"/>
    <w:uiPriority w:val="22"/>
    <w:qFormat/>
    <w:rsid w:val="001d0248"/>
    <w:rPr>
      <w:b/>
      <w:bCs/>
    </w:rPr>
  </w:style>
  <w:style w:type="character" w:styleId="FollowedHyperlink">
    <w:name w:val="FollowedHyperlink"/>
    <w:basedOn w:val="DefaultParagraphFont"/>
    <w:uiPriority w:val="99"/>
    <w:semiHidden/>
    <w:unhideWhenUsed/>
    <w:rsid w:val="003d6332"/>
    <w:rPr>
      <w:color w:val="954F72" w:themeColor="followedHyperlink"/>
      <w:u w:val="single"/>
    </w:rPr>
  </w:style>
  <w:style w:type="character" w:styleId="4" w:customStyle="1">
    <w:name w:val="Заголовок 4 Знак"/>
    <w:basedOn w:val="DefaultParagraphFont"/>
    <w:uiPriority w:val="9"/>
    <w:semiHidden/>
    <w:qFormat/>
    <w:rsid w:val="007e0e60"/>
    <w:rPr>
      <w:rFonts w:ascii="Calibri Light" w:hAnsi="Calibri Light" w:eastAsia="" w:cs="" w:asciiTheme="majorHAnsi" w:cstheme="majorBidi" w:eastAsiaTheme="majorEastAsia" w:hAnsiTheme="majorHAnsi"/>
      <w:i/>
      <w:iCs/>
      <w:color w:val="2E74B5" w:themeColor="accent1" w:themeShade="bf"/>
      <w:sz w:val="22"/>
      <w:szCs w:val="22"/>
      <w:lang w:eastAsia="en-US"/>
    </w:rPr>
  </w:style>
  <w:style w:type="character" w:styleId="Pagenumber">
    <w:name w:val="page number"/>
    <w:basedOn w:val="DefaultParagraphFont"/>
    <w:qFormat/>
    <w:rsid w:val="00396317"/>
    <w:rPr/>
  </w:style>
  <w:style w:type="character" w:styleId="Style16" w:customStyle="1">
    <w:name w:val="Абзац списка Знак"/>
    <w:link w:val="ListParagraph"/>
    <w:uiPriority w:val="34"/>
    <w:qFormat/>
    <w:locked/>
    <w:rsid w:val="006429e3"/>
    <w:rPr>
      <w:sz w:val="22"/>
      <w:szCs w:val="22"/>
      <w:lang w:eastAsia="en-US"/>
    </w:rPr>
  </w:style>
  <w:style w:type="character" w:styleId="Style17" w:customStyle="1">
    <w:name w:val="комментарий"/>
    <w:qFormat/>
    <w:rsid w:val="006429e3"/>
    <w:rPr>
      <w:b/>
      <w:i/>
      <w:shd w:fill="FFFF99" w:val="clear"/>
    </w:rPr>
  </w:style>
  <w:style w:type="character" w:styleId="Linenumber1">
    <w:name w:val="line number1"/>
    <w:qFormat/>
    <w:rPr/>
  </w:style>
  <w:style w:type="character" w:styleId="LineNumber">
    <w:name w:val="Line Number"/>
    <w:rPr/>
  </w:style>
  <w:style w:type="character" w:styleId="Style18">
    <w:name w:val="Символ нумерации"/>
    <w:qFormat/>
    <w:rPr/>
  </w:style>
  <w:style w:type="character" w:styleId="Strong">
    <w:name w:val="Strong"/>
    <w:qFormat/>
    <w:rPr>
      <w:b/>
      <w:bCs/>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5"/>
    <w:uiPriority w:val="99"/>
    <w:semiHidden/>
    <w:unhideWhenUsed/>
    <w:qFormat/>
    <w:rsid w:val="0053223e"/>
    <w:pPr>
      <w:spacing w:lineRule="auto" w:line="240" w:before="0" w:after="0"/>
    </w:pPr>
    <w:rPr>
      <w:rFonts w:ascii="Tahoma" w:hAnsi="Tahoma"/>
      <w:sz w:val="16"/>
      <w:szCs w:val="16"/>
    </w:rPr>
  </w:style>
  <w:style w:type="paragraph" w:styleId="Style21" w:customStyle="1">
    <w:name w:val="Колонтитул"/>
    <w:basedOn w:val="Normal"/>
    <w:qFormat/>
    <w:pPr/>
    <w:rPr/>
  </w:style>
  <w:style w:type="paragraph" w:styleId="Header">
    <w:name w:val="Header"/>
    <w:basedOn w:val="Normal"/>
    <w:link w:val="Style6"/>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7"/>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9"/>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link w:val="Style16"/>
    <w:uiPriority w:val="34"/>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1"/>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2"/>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4"/>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2" w:customStyle="1">
    <w:name w:val="Содержимое врезки"/>
    <w:basedOn w:val="Normal"/>
    <w:qFormat/>
    <w:pPr/>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3d6332"/>
  </w:style>
  <w:style w:type="numbering" w:styleId="28009843531">
    <w:name w:val="28009843531"/>
    <w:qFormat/>
  </w:style>
  <w:style w:type="numbering" w:styleId="34154788941">
    <w:name w:val="34154788941"/>
    <w:qFormat/>
  </w:style>
  <w:style w:type="numbering" w:styleId="18077266491">
    <w:name w:val="18077266491"/>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9">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2"/>
    <w:uiPriority w:val="59"/>
    <w:rsid w:val="003d6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2"/>
    <w:uiPriority w:val="39"/>
    <w:rsid w:val="003963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B3B5-645F-4FC4-B408-A1545C37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Application>AlterOffice/3.4.0.9$Linux_X86_64 LibreOffice_project/b8daf9e823b1a5463a2f48435ddc2e8696e7d4fc</Application>
  <AppVersion>15.0000</AppVersion>
  <Pages>5</Pages>
  <Words>1221</Words>
  <Characters>8603</Characters>
  <CharactersWithSpaces>9723</CharactersWithSpaces>
  <Paragraphs>120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2025-06-27T09:00:00Z</dcterms:created>
  <dc:creator>Admin</dc:creator>
  <dc:description/>
  <dc:language>ru-RU</dc:language>
  <cp:lastModifiedBy/>
  <cp:lastPrinted>2025-10-22T08:05:44Z</cp:lastPrinted>
  <dcterms:modified xsi:type="dcterms:W3CDTF">2026-07-09T16:11:15Z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