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4E5FA8" w:rsidRPr="004E5FA8">
        <w:rPr>
          <w:sz w:val="26"/>
          <w:szCs w:val="26"/>
        </w:rPr>
        <w:t xml:space="preserve">Вологодской </w:t>
      </w:r>
      <w:r w:rsidR="00B431B7">
        <w:rPr>
          <w:sz w:val="26"/>
          <w:szCs w:val="26"/>
        </w:rPr>
        <w:t>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4E5FA8" w:rsidRPr="004E5FA8">
        <w:t xml:space="preserve">Вологодской </w:t>
      </w:r>
      <w:r w:rsidR="00B431B7">
        <w:t>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4E5FA8" w:rsidRPr="00647D84" w:rsidRDefault="004E5FA8" w:rsidP="004E5FA8">
      <w:pPr>
        <w:ind w:firstLine="851"/>
        <w:rPr>
          <w:lang w:eastAsia="en-US"/>
        </w:rPr>
      </w:pPr>
      <w:r w:rsidRPr="00647D84">
        <w:rPr>
          <w:lang w:eastAsia="en-US"/>
        </w:rPr>
        <w:t>Белкин Евгений Николаевич</w:t>
      </w:r>
    </w:p>
    <w:p w:rsidR="004E5FA8" w:rsidRPr="00647D84" w:rsidRDefault="004E5FA8" w:rsidP="004E5FA8">
      <w:pPr>
        <w:ind w:firstLine="851"/>
        <w:jc w:val="both"/>
        <w:rPr>
          <w:lang w:eastAsia="en-US"/>
        </w:rPr>
      </w:pPr>
      <w:r w:rsidRPr="00647D84">
        <w:rPr>
          <w:lang w:eastAsia="en-US"/>
        </w:rPr>
        <w:t>Начальник Отдела строительства технической инфраструктуры</w:t>
      </w:r>
    </w:p>
    <w:p w:rsidR="004E5FA8" w:rsidRDefault="004E5FA8" w:rsidP="004E5FA8">
      <w:pPr>
        <w:ind w:firstLine="851"/>
        <w:jc w:val="both"/>
        <w:rPr>
          <w:lang w:eastAsia="en-US"/>
        </w:rPr>
      </w:pPr>
      <w:r w:rsidRPr="00647D84">
        <w:rPr>
          <w:lang w:eastAsia="en-US"/>
        </w:rPr>
        <w:t xml:space="preserve">8 (817-2) 79-90-41, </w:t>
      </w:r>
    </w:p>
    <w:p w:rsidR="004E5FA8" w:rsidRDefault="004E5FA8" w:rsidP="004E5FA8">
      <w:pPr>
        <w:ind w:firstLine="851"/>
        <w:jc w:val="both"/>
        <w:rPr>
          <w:lang w:eastAsia="en-US"/>
        </w:rPr>
      </w:pPr>
      <w:r w:rsidRPr="00647D84">
        <w:rPr>
          <w:lang w:eastAsia="en-US"/>
        </w:rPr>
        <w:t xml:space="preserve">Эл.почта: </w:t>
      </w:r>
      <w:hyperlink r:id="rId8" w:history="1">
        <w:r w:rsidRPr="00C84072">
          <w:rPr>
            <w:rStyle w:val="aff2"/>
            <w:lang w:eastAsia="en-US"/>
          </w:rPr>
          <w:t>Evgeniy.Belkin@nw.rt.ru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DE44A0" w:rsidRPr="00DE44A0" w:rsidRDefault="00DE44A0" w:rsidP="00DE44A0">
      <w:pPr>
        <w:pStyle w:val="aff6"/>
        <w:numPr>
          <w:ilvl w:val="1"/>
          <w:numId w:val="6"/>
        </w:numPr>
        <w:ind w:left="0" w:firstLine="851"/>
        <w:rPr>
          <w:lang w:eastAsia="ru-RU"/>
        </w:rPr>
      </w:pPr>
      <w:r w:rsidRPr="00DE44A0">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4E5FA8">
        <w:rPr>
          <w:color w:val="000000" w:themeColor="text1"/>
          <w:sz w:val="24"/>
          <w:szCs w:val="24"/>
        </w:rPr>
        <w:t xml:space="preserve">Вологодской </w:t>
      </w:r>
      <w:r w:rsidR="00B431B7">
        <w:rPr>
          <w:color w:val="000000" w:themeColor="text1"/>
          <w:sz w:val="24"/>
          <w:szCs w:val="24"/>
        </w:rPr>
        <w:t>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4E5FA8" w:rsidRPr="00647D84" w:rsidRDefault="004E5FA8" w:rsidP="004E5FA8">
      <w:pPr>
        <w:ind w:firstLine="851"/>
        <w:rPr>
          <w:lang w:eastAsia="en-US"/>
        </w:rPr>
      </w:pPr>
      <w:r w:rsidRPr="00647D84">
        <w:rPr>
          <w:lang w:eastAsia="en-US"/>
        </w:rPr>
        <w:t>Белкин Евгений Николаевич</w:t>
      </w:r>
    </w:p>
    <w:p w:rsidR="004E5FA8" w:rsidRPr="00647D84" w:rsidRDefault="004E5FA8" w:rsidP="004E5FA8">
      <w:pPr>
        <w:ind w:firstLine="851"/>
        <w:jc w:val="both"/>
        <w:rPr>
          <w:lang w:eastAsia="en-US"/>
        </w:rPr>
      </w:pPr>
      <w:r w:rsidRPr="00647D84">
        <w:rPr>
          <w:lang w:eastAsia="en-US"/>
        </w:rPr>
        <w:t>Начальник Отдела строительства технической инфраструктуры</w:t>
      </w:r>
    </w:p>
    <w:p w:rsidR="004E5FA8" w:rsidRDefault="004E5FA8" w:rsidP="004E5FA8">
      <w:pPr>
        <w:ind w:firstLine="851"/>
        <w:jc w:val="both"/>
        <w:rPr>
          <w:lang w:eastAsia="en-US"/>
        </w:rPr>
      </w:pPr>
      <w:r w:rsidRPr="00647D84">
        <w:rPr>
          <w:lang w:eastAsia="en-US"/>
        </w:rPr>
        <w:t>8 (817-2) 79-90-41,</w:t>
      </w:r>
    </w:p>
    <w:p w:rsidR="004E5FA8" w:rsidRDefault="004E5FA8" w:rsidP="004E5FA8">
      <w:pPr>
        <w:ind w:firstLine="851"/>
        <w:jc w:val="both"/>
        <w:rPr>
          <w:lang w:eastAsia="en-US"/>
        </w:rPr>
      </w:pPr>
      <w:r w:rsidRPr="00647D84">
        <w:rPr>
          <w:lang w:eastAsia="en-US"/>
        </w:rPr>
        <w:t xml:space="preserve">Эл.почта: </w:t>
      </w:r>
      <w:hyperlink r:id="rId9" w:history="1">
        <w:r w:rsidRPr="00C84072">
          <w:rPr>
            <w:rStyle w:val="aff2"/>
            <w:lang w:eastAsia="en-US"/>
          </w:rPr>
          <w:t>Evgeniy.Belkin@nw.rt.ru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4E5FA8"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4E5FA8" w:rsidRPr="00F272DE" w:rsidRDefault="004E5FA8" w:rsidP="004E5FA8">
            <w:r w:rsidRPr="00F272DE">
              <w:t>160000, Вологодская область, г. Вологда, пр-кт Советский, д.4</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sz w:val="22"/>
                <w:szCs w:val="22"/>
                <w:lang w:eastAsia="en-US"/>
              </w:rPr>
            </w:pPr>
          </w:p>
        </w:tc>
      </w:tr>
      <w:tr w:rsidR="004E5FA8"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7707049388/ 352543001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sz w:val="22"/>
                <w:szCs w:val="22"/>
                <w:lang w:eastAsia="en-US"/>
              </w:rPr>
            </w:pPr>
          </w:p>
        </w:tc>
      </w:tr>
      <w:tr w:rsidR="004E5FA8" w:rsidTr="00A42F80">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sz w:val="22"/>
                <w:szCs w:val="22"/>
                <w:lang w:eastAsia="en-US"/>
              </w:rPr>
            </w:pPr>
          </w:p>
        </w:tc>
      </w:tr>
      <w:tr w:rsidR="004E5FA8" w:rsidTr="00A42F80">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sz w:val="22"/>
                <w:szCs w:val="22"/>
                <w:lang w:eastAsia="en-US"/>
              </w:rPr>
            </w:pPr>
          </w:p>
        </w:tc>
      </w:tr>
      <w:tr w:rsidR="004E5FA8" w:rsidTr="00A42F80">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rFonts w:eastAsia="Batang"/>
                <w:sz w:val="22"/>
                <w:szCs w:val="22"/>
                <w:lang w:eastAsia="en-US"/>
              </w:rPr>
            </w:pPr>
          </w:p>
        </w:tc>
      </w:tr>
      <w:tr w:rsidR="004E5FA8" w:rsidTr="00A42F80">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rFonts w:eastAsia="Batang"/>
                <w:sz w:val="22"/>
                <w:szCs w:val="22"/>
                <w:lang w:eastAsia="en-US"/>
              </w:rPr>
            </w:pPr>
          </w:p>
        </w:tc>
      </w:tr>
      <w:tr w:rsidR="004E5FA8" w:rsidTr="00A42F80">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4E5FA8" w:rsidRDefault="004E5FA8" w:rsidP="004E5FA8">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rFonts w:eastAsia="Batang"/>
                <w:sz w:val="22"/>
                <w:szCs w:val="22"/>
                <w:lang w:eastAsia="en-US"/>
              </w:rPr>
            </w:pPr>
          </w:p>
        </w:tc>
      </w:tr>
      <w:tr w:rsidR="004E5FA8"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4E5FA8" w:rsidRPr="00176133" w:rsidRDefault="004E5FA8" w:rsidP="004E5FA8">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4E5FA8" w:rsidRPr="00F272DE" w:rsidRDefault="004E5FA8" w:rsidP="004E5FA8">
            <w:r w:rsidRPr="00F272DE">
              <w:t>sz.vl.office@nw.rt.ru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rFonts w:eastAsia="Batang"/>
                <w:sz w:val="22"/>
                <w:szCs w:val="22"/>
                <w:lang w:eastAsia="en-US"/>
              </w:rPr>
            </w:pPr>
          </w:p>
        </w:tc>
      </w:tr>
      <w:tr w:rsidR="004E5FA8"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4E5FA8" w:rsidRPr="00176133" w:rsidRDefault="004E5FA8" w:rsidP="004E5FA8">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4E5FA8" w:rsidRDefault="004E5FA8" w:rsidP="004E5FA8">
            <w:r w:rsidRPr="00F272DE">
              <w:t>(8172) 72 00 14</w:t>
            </w:r>
          </w:p>
        </w:tc>
        <w:tc>
          <w:tcPr>
            <w:tcW w:w="3787" w:type="dxa"/>
            <w:tcBorders>
              <w:top w:val="single" w:sz="6" w:space="0" w:color="000000"/>
              <w:left w:val="single" w:sz="6" w:space="0" w:color="000000"/>
              <w:bottom w:val="single" w:sz="6" w:space="0" w:color="000000"/>
              <w:right w:val="single" w:sz="4" w:space="0" w:color="000000"/>
            </w:tcBorders>
            <w:vAlign w:val="center"/>
          </w:tcPr>
          <w:p w:rsidR="004E5FA8" w:rsidRDefault="004E5FA8" w:rsidP="004E5FA8">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4E5FA8">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933" w:dyaOrig="1234">
          <v:shape id="_x0000_i1028" type="#_x0000_t75" style="width:96.65pt;height:61.7pt" o:ole="">
            <v:imagedata r:id="rId20" o:title=""/>
          </v:shape>
          <o:OLEObject Type="Embed" ProgID="Word.Document.12" ShapeID="_x0000_i1028" DrawAspect="Icon" ObjectID="_1844853643"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E5FA8">
      <w:pPr>
        <w:pStyle w:val="af9"/>
        <w:spacing w:line="360" w:lineRule="auto"/>
        <w:rPr>
          <w:caps w:val="0"/>
          <w:sz w:val="26"/>
          <w:szCs w:val="26"/>
        </w:rPr>
      </w:pPr>
      <w:r>
        <w:rPr>
          <w:caps w:val="0"/>
          <w:sz w:val="26"/>
          <w:szCs w:val="26"/>
        </w:rPr>
        <w:object w:dxaOrig="1530" w:dyaOrig="1000">
          <v:shape id="_x0000_i1032" type="#_x0000_t75" style="width:76.5pt;height:50pt" o:ole="">
            <v:imagedata r:id="rId22" o:title=""/>
          </v:shape>
          <o:OLEObject Type="Embed" ProgID="Excel.Sheet.12" ShapeID="_x0000_i1032" DrawAspect="Icon" ObjectID="_1844853644" r:id="rId23"/>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4E5FA8">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A0" w:rsidRDefault="00DE44A0">
      <w:r>
        <w:separator/>
      </w:r>
    </w:p>
  </w:endnote>
  <w:endnote w:type="continuationSeparator" w:id="0">
    <w:p w:rsidR="00DE44A0" w:rsidRDefault="00DE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t>29</w:t>
        </w:r>
        <w:r>
          <w:fldChar w:fldCharType="end"/>
        </w:r>
      </w:p>
    </w:sdtContent>
  </w:sdt>
  <w:p w:rsidR="00DE44A0" w:rsidRDefault="00DE44A0">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31</w:t>
        </w:r>
        <w:r>
          <w:fldChar w:fldCharType="end"/>
        </w:r>
      </w:p>
    </w:sdtContent>
  </w:sdt>
  <w:p w:rsidR="00DE44A0" w:rsidRDefault="00DE44A0">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33</w:t>
        </w:r>
        <w:r>
          <w:fldChar w:fldCharType="end"/>
        </w:r>
      </w:p>
    </w:sdtContent>
  </w:sdt>
  <w:p w:rsidR="00DE44A0" w:rsidRDefault="00DE44A0">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t>35</w:t>
        </w:r>
        <w:r>
          <w:fldChar w:fldCharType="end"/>
        </w:r>
      </w:p>
    </w:sdtContent>
  </w:sdt>
  <w:p w:rsidR="00DE44A0" w:rsidRDefault="00DE44A0">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45</w:t>
        </w:r>
        <w:r>
          <w:fldChar w:fldCharType="end"/>
        </w:r>
      </w:p>
    </w:sdtContent>
  </w:sdt>
  <w:p w:rsidR="00DE44A0" w:rsidRDefault="00DE44A0">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14</w:t>
        </w:r>
        <w:r>
          <w:fldChar w:fldCharType="end"/>
        </w:r>
      </w:p>
    </w:sdtContent>
  </w:sdt>
  <w:p w:rsidR="00DE44A0" w:rsidRDefault="00DE44A0">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t>15</w:t>
        </w:r>
        <w:r>
          <w:fldChar w:fldCharType="end"/>
        </w:r>
      </w:p>
    </w:sdtContent>
  </w:sdt>
  <w:p w:rsidR="00DE44A0" w:rsidRDefault="00DE44A0">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18</w:t>
        </w:r>
        <w:r>
          <w:fldChar w:fldCharType="end"/>
        </w:r>
      </w:p>
    </w:sdtContent>
  </w:sdt>
  <w:p w:rsidR="00DE44A0" w:rsidRDefault="00DE44A0">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DE44A0" w:rsidRDefault="00DE44A0">
        <w:pPr>
          <w:pStyle w:val="af6"/>
          <w:jc w:val="right"/>
        </w:pPr>
        <w:r>
          <w:fldChar w:fldCharType="begin"/>
        </w:r>
        <w:r>
          <w:instrText xml:space="preserve"> PAGE </w:instrText>
        </w:r>
        <w:r>
          <w:fldChar w:fldCharType="separate"/>
        </w:r>
        <w:r w:rsidR="004E5FA8">
          <w:rPr>
            <w:noProof/>
          </w:rPr>
          <w:t>28</w:t>
        </w:r>
        <w:r>
          <w:fldChar w:fldCharType="end"/>
        </w:r>
      </w:p>
    </w:sdtContent>
  </w:sdt>
  <w:p w:rsidR="00DE44A0" w:rsidRDefault="00DE44A0">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A0" w:rsidRDefault="00DE44A0">
      <w:r>
        <w:separator/>
      </w:r>
    </w:p>
  </w:footnote>
  <w:footnote w:type="continuationSeparator" w:id="0">
    <w:p w:rsidR="00DE44A0" w:rsidRDefault="00DE44A0">
      <w:r>
        <w:continuationSeparator/>
      </w:r>
    </w:p>
  </w:footnote>
  <w:footnote w:id="1">
    <w:p w:rsidR="00DE44A0" w:rsidRDefault="00DE44A0">
      <w:pPr>
        <w:pStyle w:val="afb"/>
        <w:rPr>
          <w:sz w:val="18"/>
        </w:rPr>
      </w:pPr>
      <w:r>
        <w:rPr>
          <w:rStyle w:val="afc"/>
        </w:rPr>
        <w:footnoteRef/>
      </w:r>
      <w:r>
        <w:rPr>
          <w:sz w:val="18"/>
        </w:rPr>
        <w:t xml:space="preserve"> дата заполняется Заказчиком при подписании акта.</w:t>
      </w:r>
    </w:p>
  </w:footnote>
  <w:footnote w:id="2">
    <w:p w:rsidR="00DE44A0" w:rsidRDefault="00DE44A0">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DE44A0" w:rsidRDefault="00DE44A0">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E44A0" w:rsidRDefault="00DE44A0">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DE44A0" w:rsidRDefault="00DE44A0">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2B4045"/>
    <w:rsid w:val="00374667"/>
    <w:rsid w:val="003D44F7"/>
    <w:rsid w:val="004C28F0"/>
    <w:rsid w:val="004D2E06"/>
    <w:rsid w:val="004E5FA8"/>
    <w:rsid w:val="0056093C"/>
    <w:rsid w:val="005C6BE0"/>
    <w:rsid w:val="005D662E"/>
    <w:rsid w:val="005F28E2"/>
    <w:rsid w:val="00647D84"/>
    <w:rsid w:val="006C36B2"/>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E44A0"/>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6669CE3A"/>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E5FA8"/>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Evgeniy.Belkin@nw.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Evgeniy.Belkin@nw.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2CF6-9361-4A95-9F00-5B63C155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45</Pages>
  <Words>14783</Words>
  <Characters>84269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Симон Ирина Александровна</cp:lastModifiedBy>
  <cp:revision>63</cp:revision>
  <cp:lastPrinted>2017-11-17T13:27:00Z</cp:lastPrinted>
  <dcterms:created xsi:type="dcterms:W3CDTF">2024-11-21T12:57:00Z</dcterms:created>
  <dcterms:modified xsi:type="dcterms:W3CDTF">2026-07-06T07:34:00Z</dcterms:modified>
  <dc:language>ru-RU</dc:language>
</cp:coreProperties>
</file>