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</w:rPr>
      </w:pPr>
      <w:r>
        <w:rPr>
          <w:rFonts w:eastAsia="Calibri"/>
          <w:b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Times New Roman" w:cs="Times New Roman"/>
          <w:b/>
          <w:bCs/>
          <w:i/>
          <w:color w:val="00000A"/>
          <w:sz w:val="26"/>
          <w:szCs w:val="26"/>
          <w:highlight w:val="white"/>
          <w:lang w:val="ru-RU" w:eastAsia="ru-RU" w:bidi="ar-SA"/>
        </w:rPr>
        <w:t>ОКПД2 71.12.13</w:t>
      </w: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highlight w:val="white"/>
          <w:lang w:val="ru-RU" w:eastAsia="ru-RU" w:bidi="ar-SA"/>
        </w:rPr>
        <w:t xml:space="preserve">  </w:t>
      </w:r>
      <w:r>
        <w:rPr>
          <w:rFonts w:eastAsia="Times New Roman" w:cs="Liberation Serif" w:ascii="Liberation Serif" w:hAnsi="Liberation Serif"/>
          <w:b/>
          <w:bCs/>
          <w:i/>
          <w:color w:val="000000"/>
          <w:sz w:val="26"/>
          <w:szCs w:val="26"/>
          <w:highlight w:val="white"/>
          <w:lang w:val="ru-RU" w:eastAsia="ru-RU" w:bidi="ar-SA"/>
        </w:rPr>
        <w:t xml:space="preserve">на проектно-изыскательские работы по объекту «Строительство двух </w:t>
      </w:r>
      <w:r>
        <w:rPr>
          <w:rStyle w:val="Style29"/>
          <w:rFonts w:eastAsia="Times New Roman" w:cs="Liberation Serif" w:ascii="Liberation Serif" w:hAnsi="Liberation Serif"/>
          <w:b/>
          <w:bCs/>
          <w:i/>
          <w:color w:val="000000"/>
          <w:sz w:val="26"/>
          <w:szCs w:val="26"/>
          <w:highlight w:val="white"/>
          <w:lang w:val="ru-RU" w:eastAsia="ru-RU" w:bidi="ar-SA"/>
        </w:rPr>
        <w:t>ЛЭП 10 кВ от ПС Промпарк до РТП-10/6 кВ 2х6,3 МВА и ЛЭП 6 кВ от РТП-10/6 кВ 2х6,3 МВА до существующих фидеров 6 кВ</w:t>
      </w:r>
      <w:r>
        <w:rPr>
          <w:rFonts w:eastAsia="Times New Roman" w:cs="Liberation Serif" w:ascii="Liberation Serif" w:hAnsi="Liberation Serif"/>
          <w:b/>
          <w:bCs/>
          <w:i/>
          <w:color w:val="000000"/>
          <w:sz w:val="26"/>
          <w:szCs w:val="26"/>
          <w:highlight w:val="white"/>
          <w:lang w:val="ru-RU" w:eastAsia="ru-RU" w:bidi="ar-SA"/>
        </w:rPr>
        <w:t>»</w:t>
      </w: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highlight w:val="white"/>
          <w:lang w:val="ru-RU" w:eastAsia="ru-RU" w:bidi="ar-SA"/>
        </w:rPr>
        <w:t xml:space="preserve"> в рамках инвестиционного проекта</w:t>
      </w:r>
    </w:p>
    <w:p>
      <w:pPr>
        <w:pStyle w:val="Normal"/>
        <w:keepNext w:val="true"/>
        <w:keepLines/>
        <w:jc w:val="center"/>
        <w:rPr>
          <w:b/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rPr>
          <w:b/>
          <w:b/>
          <w:i/>
          <w:i/>
          <w:sz w:val="26"/>
          <w:szCs w:val="26"/>
        </w:rPr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4"/>
          <w:szCs w:val="24"/>
        </w:rPr>
        <w:t xml:space="preserve">СОДЕРЖАНИЕ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cs="Calibri" w:cstheme="minorHAnsi"/>
              <w:b w:val="false"/>
              <w:b w:val="false"/>
              <w:bCs w:val="false"/>
              <w:sz w:val="20"/>
              <w:szCs w:val="20"/>
            </w:rPr>
          </w:pPr>
          <w:r>
            <w:fldChar w:fldCharType="begin"/>
          </w:r>
          <w:r>
            <w:rPr>
              <w:webHidden/>
              <w:sz w:val="20"/>
              <w:b w:val="false"/>
              <w:szCs w:val="20"/>
              <w:bCs w:val="false"/>
              <w:vanish w:val="false"/>
              <w:rFonts w:cs="Calibri"/>
            </w:rPr>
            <w:instrText> TOC \z \o "1-4" \u \h</w:instrText>
          </w:r>
          <w:r>
            <w:rPr>
              <w:webHidden/>
              <w:sz w:val="20"/>
              <w:b w:val="false"/>
              <w:szCs w:val="20"/>
              <w:bCs w:val="false"/>
              <w:vanish w:val="false"/>
              <w:rFonts w:cs="Calibri"/>
            </w:rPr>
            <w:fldChar w:fldCharType="separate"/>
          </w:r>
          <w:hyperlink w:anchor="_Toc54643121">
            <w:r>
              <w:rPr>
                <w:webHidden/>
                <w:rFonts w:cs="Calibri" w:cstheme="minorHAnsi"/>
                <w:b w:val="false"/>
                <w:bCs w:val="false"/>
                <w:vanish w:val="false"/>
                <w:sz w:val="20"/>
                <w:szCs w:val="20"/>
              </w:rPr>
              <w:t>1.</w:t>
              <w:tab/>
              <w:t>Общие сведения</w:t>
              <w:tab/>
            </w:r>
          </w:hyperlink>
          <w:r>
            <w:rPr/>
            <w:t>3</w:t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/>
          </w:pPr>
          <w:hyperlink w:anchor="_Toc546431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_Toc54643122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1.1.</w:t>
              <w:tab/>
              <w:t>Обозначения и сокращения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/>
          </w:pPr>
          <w:hyperlink w:anchor="_Toc5464312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_Toc54643123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1.2.</w:t>
              <w:tab/>
              <w:t>Наименование закупаемой продукции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/>
          </w:pPr>
          <w:hyperlink w:anchor="_Toc5464312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_Toc54643124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vanish w:val="false"/>
              </w:rPr>
              <w:t>1.3.</w:t>
              <w:tab/>
              <w:t xml:space="preserve">Цель выполнения работ 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125">
            <w:r>
              <w:rPr>
                <w:webHidden/>
                <w:vanish w:val="false"/>
              </w:rPr>
              <w:t>1.4.</w:t>
              <w:tab/>
              <w:t>Существующее положение</w:t>
            </w:r>
            <w:r>
              <w:rPr>
                <w:i/>
              </w:rPr>
              <w:t xml:space="preserve">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_Toc54643125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26">
            <w:r>
              <w:rPr>
                <w:webHidden/>
                <w:vanish w:val="false"/>
              </w:rPr>
              <w:t xml:space="preserve">Таблица 1. Перечень объектов заказчика, ориентировочный объем работ </w:t>
              <w:tab/>
            </w:r>
          </w:hyperlink>
          <w:r>
            <w:rPr/>
            <w:t>4</w:t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>
              <w:rFonts w:eastAsia="" w:cs="" w:cstheme="minorBidi" w:eastAsiaTheme="minorEastAsia" w:ascii="Calibri" w:hAnsi="Calibri"/>
              <w:sz w:val="24"/>
              <w:szCs w:val="24"/>
            </w:rPr>
          </w:r>
        </w:p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29">
            <w:r>
              <w:rPr>
                <w:webHidden/>
                <w:vanish w:val="false"/>
              </w:rPr>
              <w:t>2.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/>
              <w:t>Требования к продукции</w:t>
            </w:r>
            <w:r>
              <w:rPr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130">
            <w:r>
              <w:rPr>
                <w:webHidden/>
                <w:iCs/>
                <w:vanish w:val="false"/>
              </w:rPr>
              <w:t>2.1.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/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_Toc54643130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6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</w:t>
          </w:r>
          <w:hyperlink w:anchor="_Toc54643131">
            <w:r>
              <w:rPr>
                <w:webHidden/>
                <w:vanish w:val="false"/>
              </w:rPr>
              <w:t>2.1.1.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/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_Toc54643131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2">
            <w:r>
              <w:rPr>
                <w:webHidden/>
                <w:vanish w:val="false"/>
              </w:rPr>
              <w:t>Таблица 2. Перечень и объем выполняемых работ</w:t>
              <w:tab/>
            </w:r>
          </w:hyperlink>
          <w:r>
            <w:rPr/>
            <w:t>5</w:t>
          </w:r>
        </w:p>
        <w:p>
          <w:pPr>
            <w:pStyle w:val="36"/>
            <w:rPr/>
          </w:pPr>
          <w:r>
            <w:rPr/>
          </w:r>
        </w:p>
        <w:p>
          <w:pPr>
            <w:pStyle w:val="36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</w:t>
          </w:r>
          <w:hyperlink w:anchor="_Toc54643133">
            <w:r>
              <w:rPr>
                <w:webHidden/>
                <w:vanish w:val="false"/>
              </w:rPr>
              <w:t>2.1.2.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/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_Toc54643133 \h</w:instrText>
            </w:r>
            <w:r>
              <w:rPr>
                <w:webHidden/>
              </w:rPr>
              <w:fldChar w:fldCharType="separate"/>
            </w:r>
            <w:r>
              <w:rPr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4">
            <w:r>
              <w:rPr>
                <w:webHidden/>
                <w:vanish w:val="false"/>
              </w:rPr>
              <w:t>Таблица 3. Требования по срокам выполнения работ</w:t>
              <w:tab/>
            </w:r>
          </w:hyperlink>
          <w:r>
            <w:rPr/>
            <w:t>7</w:t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/>
          </w:pPr>
          <w:r>
            <w:rPr/>
          </w:r>
        </w:p>
        <w:p>
          <w:pPr>
            <w:pStyle w:val="42"/>
            <w:tabs>
              <w:tab w:val="clear" w:pos="708"/>
              <w:tab w:val="left" w:pos="140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135">
            <w:r>
              <w:rPr>
                <w:webHidden/>
                <w:iCs/>
                <w:vanish w:val="false"/>
              </w:rPr>
              <w:t>2.2.</w:t>
            </w:r>
            <w:r>
              <w:rPr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/>
              <w:t>Требования к качеству работ</w:t>
            </w:r>
            <w:r>
              <w:rPr>
                <w:vanish w:val="false"/>
              </w:rPr>
              <w:tab/>
            </w:r>
          </w:hyperlink>
          <w:r>
            <w:rPr/>
            <w:t>8</w:t>
          </w:r>
        </w:p>
        <w:p>
          <w:pPr>
            <w:pStyle w:val="17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6">
            <w:r>
              <w:rPr>
                <w:webHidden/>
                <w:vanish w:val="false"/>
              </w:rPr>
              <w:t>Таблица 4. Требования к качеству работ</w:t>
              <w:tab/>
            </w:r>
          </w:hyperlink>
          <w:r>
            <w:rPr/>
            <w:t>8</w:t>
          </w:r>
        </w:p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7">
            <w:r>
              <w:rPr>
                <w:webHidden/>
                <w:vanish w:val="false"/>
              </w:rPr>
              <w:t>3.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/>
              <w:t>Требования к документации по ценообразованию на этапе закупки</w:t>
            </w:r>
            <w:r>
              <w:rPr>
                <w:vanish w:val="false"/>
              </w:rPr>
              <w:tab/>
            </w:r>
          </w:hyperlink>
          <w:r>
            <w:rPr/>
            <w:t>26</w:t>
          </w:r>
        </w:p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8">
            <w:r>
              <w:rPr>
                <w:webHidden/>
                <w:vanish w:val="false"/>
              </w:rPr>
              <w:t>4.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/>
              <w:t>Требования к документации по ценообразованию на этапе заключения (исполнения) договора</w:t>
            </w:r>
            <w:r>
              <w:rPr>
                <w:vanish w:val="false"/>
              </w:rPr>
              <w:tab/>
            </w:r>
          </w:hyperlink>
          <w:r>
            <w:rPr/>
            <w:t>26</w:t>
          </w:r>
        </w:p>
        <w:p>
          <w:pPr>
            <w:pStyle w:val="17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 w:val="false"/>
              <w:bCs w:val="false"/>
              <w:iCs/>
            </w:rPr>
          </w:pPr>
          <w:hyperlink w:anchor="_Toc54643139">
            <w:r>
              <w:rPr>
                <w:webHidden/>
                <w:vanish w:val="false"/>
              </w:rPr>
              <w:t>5.</w:t>
            </w: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/>
              <w:t>Приложения</w:t>
            </w:r>
            <w:r>
              <w:rPr>
                <w:vanish w:val="false"/>
              </w:rPr>
              <w:tab/>
            </w:r>
          </w:hyperlink>
          <w:r>
            <w:rPr/>
            <w:t>26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1236" w:leader="none"/>
            </w:tabs>
            <w:rPr/>
          </w:pPr>
          <w:r>
            <w:rPr/>
            <w:tab/>
          </w:r>
          <w:r>
            <w:rPr/>
            <w:fldChar w:fldCharType="end"/>
          </w:r>
        </w:p>
      </w:sdtContent>
    </w:sdt>
    <w:p>
      <w:pPr>
        <w:pStyle w:val="Normal"/>
        <w:tabs>
          <w:tab w:val="clear" w:pos="708"/>
          <w:tab w:val="left" w:pos="1236" w:leader="none"/>
        </w:tabs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rFonts w:ascii="Times New Roman" w:hAnsi="Times New Roman"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rFonts w:ascii="Times New Roman" w:hAnsi="Times New Roman" w:eastAsia="Times New Roman" w:cs="Times New Roman"/>
          <w:color w:val="00000A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ru-RU" w:bidi="ar-SA"/>
        </w:rPr>
      </w:r>
    </w:p>
    <w:p>
      <w:pPr>
        <w:pStyle w:val="2"/>
        <w:numPr>
          <w:ilvl w:val="0"/>
          <w:numId w:val="2"/>
        </w:numPr>
        <w:rPr>
          <w:i/>
          <w:i/>
        </w:rPr>
      </w:pPr>
      <w:r>
        <w:rPr/>
        <w:t>Общие сведения</w:t>
      </w:r>
      <w:r>
        <w:rPr>
          <w:i/>
        </w:rPr>
        <w:t xml:space="preserve"> </w:t>
      </w:r>
    </w:p>
    <w:p>
      <w:pPr>
        <w:pStyle w:val="ListParagraph"/>
        <w:numPr>
          <w:ilvl w:val="1"/>
          <w:numId w:val="1"/>
        </w:numPr>
        <w:rPr>
          <w:b/>
          <w:b/>
        </w:rPr>
      </w:pPr>
      <w:r>
        <w:rPr>
          <w:b/>
        </w:rPr>
        <w:t xml:space="preserve"> </w:t>
      </w:r>
      <w:r>
        <w:rPr>
          <w:b/>
        </w:rPr>
        <w:t>Обозначения и сокращения, используемые в Технических требованиях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rStyle w:val="Style16"/>
                <w:b w:val="false"/>
                <w:b w:val="false"/>
                <w:bCs/>
                <w:iCs/>
                <w:sz w:val="22"/>
                <w:szCs w:val="22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rStyle w:val="Style16"/>
                <w:b w:val="false"/>
                <w:b w:val="false"/>
                <w:bCs/>
                <w:i w:val="false"/>
                <w:i w:val="false"/>
                <w:iCs/>
                <w:sz w:val="22"/>
                <w:szCs w:val="22"/>
              </w:rPr>
            </w:pPr>
            <w:r>
              <w:rPr>
                <w:bCs/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Российская Федерация;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КПТ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кадастровый план территории;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ЕГРН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Единый государственный реестр недвижимости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Проектная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техническое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ВЛ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воздушная линия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КЛ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кабельная линия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ЛЭП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линия электропередач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подстанция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Трансформаторная подстанция / трансформаторный пункт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РТП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распределительный трансформаторный пункт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ИРД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исходно-разрешительная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НПА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РЭС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районные электрические сети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струтурное подразделение филиала АО “ДРСК”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ПУЭ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Правила устройства электроустановок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ПОТЭЭУ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Правила по охране турда при эксплуатации электроустановок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МО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Муниципальное образование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СПиП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Свод правил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СРО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саморегулируемая организация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кВ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 напряжения киловольт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кВт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 мощности киловатт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Ед.изм.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Кол-во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количество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шт.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 в штуках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мм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единица измерения в миллиметрах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  <w:lang w:val="sah-RU"/>
              </w:rPr>
              <w:t>см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единица измерения в сантиметрах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тн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единица измерения в тоннах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ЛСР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локальный сметный расчет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ЗУ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земельный участок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ПУД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Spacing"/>
              <w:widowControl w:val="false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</w:rPr>
            </w:pPr>
            <w:bookmarkStart w:id="0" w:name="_Toc54646397"/>
            <w:bookmarkStart w:id="1" w:name="_Toc46743506"/>
            <w:bookmarkEnd w:id="0"/>
            <w:bookmarkEnd w:id="1"/>
            <w:r>
              <w:rPr>
                <w:color w:val="2D2D2D"/>
                <w:spacing w:val="2"/>
                <w:sz w:val="22"/>
                <w:szCs w:val="22"/>
                <w:shd w:fill="FFFFFF" w:val="clear"/>
              </w:rPr>
              <w:t>правоустанавливающий документ</w:t>
            </w:r>
          </w:p>
        </w:tc>
      </w:tr>
    </w:tbl>
    <w:p>
      <w:pPr>
        <w:pStyle w:val="4"/>
        <w:numPr>
          <w:ilvl w:val="1"/>
          <w:numId w:val="1"/>
        </w:numPr>
        <w:rPr/>
      </w:pPr>
      <w:r>
        <w:rPr/>
        <w:t>Наименование закупаемой продукции (закупаемых работ)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left="0" w:firstLine="567"/>
        <w:contextualSpacing/>
        <w:jc w:val="both"/>
        <w:rPr/>
      </w:pP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highlight w:val="white"/>
          <w:lang w:val="ru-RU" w:eastAsia="ru-RU" w:bidi="ar-SA"/>
        </w:rPr>
        <w:t>Выполнение</w:t>
      </w:r>
      <w:r>
        <w:rPr>
          <w:rFonts w:eastAsia="Times New Roman" w:cs="Liberation Serif" w:ascii="Liberation Serif" w:hAnsi="Liberation Serif"/>
          <w:b/>
          <w:bCs/>
          <w:i/>
          <w:color w:val="000000"/>
          <w:sz w:val="26"/>
          <w:szCs w:val="26"/>
          <w:highlight w:val="white"/>
          <w:lang w:val="ru-RU" w:eastAsia="ru-RU" w:bidi="ar-SA"/>
        </w:rPr>
        <w:t xml:space="preserve"> проектно-изыскательские работы по объекту «Строительство двух </w:t>
      </w:r>
      <w:r>
        <w:rPr>
          <w:rStyle w:val="Style29"/>
          <w:rFonts w:eastAsia="Times New Roman" w:cs="Liberation Serif" w:ascii="Liberation Serif" w:hAnsi="Liberation Serif"/>
          <w:b/>
          <w:bCs/>
          <w:i/>
          <w:color w:val="000000"/>
          <w:sz w:val="26"/>
          <w:szCs w:val="26"/>
          <w:highlight w:val="white"/>
          <w:lang w:val="ru-RU" w:eastAsia="ru-RU" w:bidi="ar-SA"/>
        </w:rPr>
        <w:t>ЛЭП 10 кВ от ПС Промпарк до РТП-10/6 кВ 2х6,3 МВА и ЛЭП 6 кВ от РТП-10/6 кВ 2х6,3 МВА до существующих фидеров 6 кВ</w:t>
      </w:r>
      <w:r>
        <w:rPr>
          <w:rFonts w:eastAsia="Times New Roman" w:cs="Liberation Serif" w:ascii="Liberation Serif" w:hAnsi="Liberation Serif"/>
          <w:b/>
          <w:bCs/>
          <w:i/>
          <w:color w:val="000000"/>
          <w:sz w:val="26"/>
          <w:szCs w:val="26"/>
          <w:highlight w:val="white"/>
          <w:lang w:val="ru-RU" w:eastAsia="ru-RU" w:bidi="ar-SA"/>
        </w:rPr>
        <w:t>»</w:t>
      </w: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highlight w:val="white"/>
          <w:lang w:val="ru-RU" w:eastAsia="ru-RU" w:bidi="ar-SA"/>
        </w:rPr>
        <w:t xml:space="preserve"> в рамках инвестиционного проекта</w:t>
      </w:r>
      <w:r>
        <w:rPr>
          <w:rFonts w:eastAsia="Times New Roman" w:cs="Times New Roman"/>
          <w:b/>
          <w:bCs w:val="false"/>
          <w:i/>
          <w:color w:val="00000A"/>
          <w:sz w:val="26"/>
          <w:szCs w:val="26"/>
          <w:lang w:val="ru-RU" w:eastAsia="ru-RU" w:bidi="ar-SA"/>
        </w:rPr>
        <w:t xml:space="preserve"> </w:t>
      </w:r>
    </w:p>
    <w:p>
      <w:pPr>
        <w:pStyle w:val="4"/>
        <w:numPr>
          <w:ilvl w:val="0"/>
          <w:numId w:val="0"/>
        </w:numPr>
        <w:ind w:left="0" w:hanging="0"/>
        <w:rPr/>
      </w:pPr>
      <w:bookmarkStart w:id="2" w:name="_Toc46743507"/>
      <w:r>
        <w:rPr/>
        <w:t xml:space="preserve">1.3 Цель </w:t>
      </w:r>
      <w:bookmarkEnd w:id="2"/>
      <w:r>
        <w:rPr/>
        <w:t xml:space="preserve">выполнения работ  </w:t>
      </w:r>
    </w:p>
    <w:p>
      <w:pPr>
        <w:pStyle w:val="Normal"/>
        <w:jc w:val="both"/>
        <w:rPr/>
      </w:pPr>
      <w:r>
        <w:rPr>
          <w:i/>
          <w:sz w:val="24"/>
          <w:szCs w:val="24"/>
        </w:rPr>
        <w:t>Целью выполняемых работ является выполнение проектно-изыскательских работ</w:t>
      </w:r>
      <w:r>
        <w:rPr>
          <w:i/>
          <w:iCs/>
          <w:sz w:val="24"/>
          <w:szCs w:val="24"/>
        </w:rPr>
        <w:t xml:space="preserve">, в объеме, достаточном для выполнения строительно-монтажных и пусконаладочных работ. </w:t>
      </w:r>
    </w:p>
    <w:p>
      <w:pPr>
        <w:pStyle w:val="4"/>
        <w:numPr>
          <w:ilvl w:val="0"/>
          <w:numId w:val="0"/>
        </w:numPr>
        <w:ind w:left="0" w:hanging="0"/>
        <w:rPr/>
      </w:pPr>
      <w:bookmarkStart w:id="3" w:name="_Toc46743508"/>
      <w:bookmarkStart w:id="4" w:name="_Toc54646399"/>
      <w:bookmarkStart w:id="5" w:name="_Toc54646398_Копия_1"/>
      <w:bookmarkEnd w:id="3"/>
      <w:bookmarkEnd w:id="4"/>
      <w:bookmarkEnd w:id="5"/>
      <w:r>
        <w:rPr/>
        <w:t>1.4 Существующее положение</w:t>
      </w:r>
    </w:p>
    <w:p>
      <w:pPr>
        <w:pStyle w:val="3"/>
        <w:numPr>
          <w:ilvl w:val="0"/>
          <w:numId w:val="0"/>
        </w:numPr>
        <w:ind w:left="0" w:hanging="0"/>
        <w:rPr/>
      </w:pPr>
      <w:bookmarkStart w:id="6" w:name="_Toc54646400"/>
      <w:bookmarkEnd w:id="6"/>
      <w:r>
        <w:rPr/>
        <w:t>Вид деятельности, в отношении которой выполняются работы – реконструкция, новое строительство.</w:t>
      </w:r>
    </w:p>
    <w:p>
      <w:pPr>
        <w:pStyle w:val="3"/>
        <w:numPr>
          <w:ilvl w:val="0"/>
          <w:numId w:val="0"/>
        </w:numPr>
        <w:ind w:left="720" w:hanging="0"/>
        <w:rPr/>
      </w:pPr>
      <w:r>
        <w:rPr/>
        <w:t xml:space="preserve">Перечень объектов заказчика, ориентировочный объем работ </w:t>
      </w:r>
    </w:p>
    <w:p>
      <w:pPr>
        <w:pStyle w:val="3"/>
        <w:numPr>
          <w:ilvl w:val="0"/>
          <w:numId w:val="0"/>
        </w:numPr>
        <w:ind w:left="720" w:hanging="0"/>
        <w:rPr/>
      </w:pPr>
      <w:r>
        <w:rPr/>
        <w:t xml:space="preserve">Таблица 1 </w:t>
      </w:r>
    </w:p>
    <w:tbl>
      <w:tblPr>
        <w:tblW w:w="10060" w:type="dxa"/>
        <w:jc w:val="left"/>
        <w:tblInd w:w="58" w:type="dxa"/>
        <w:tblLayout w:type="fixed"/>
        <w:tblCellMar>
          <w:top w:w="0" w:type="dxa"/>
          <w:left w:w="4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4"/>
        <w:gridCol w:w="3827"/>
        <w:gridCol w:w="2124"/>
        <w:gridCol w:w="3404"/>
      </w:tblGrid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6"/>
                <w:szCs w:val="26"/>
              </w:rPr>
              <w:t>Наименование объекта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6"/>
                <w:szCs w:val="26"/>
              </w:rPr>
              <w:t>Насел. пункт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6"/>
                <w:szCs w:val="26"/>
              </w:rPr>
              <w:t>Ориентировочный объем (уточняется в РД)</w:t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02" w:hRule="atLeast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Style w:val="Style29"/>
                <w:rFonts w:eastAsia="Times New Roman" w:cs="Liberation Serif" w:ascii="Liberation Serif" w:hAnsi="Liberation Serif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white"/>
                <w:lang w:val="ru-RU" w:eastAsia="ru-RU" w:bidi="ar-SA"/>
              </w:rPr>
              <w:t>2 ЛЭП 10 кВ от ПС Промпарк до РТП-10/6 кВ 2х6,3 МВА, РТП-10/6кВ 2х6,3 МВА, ЛЭП 6 кВ от РТП-10/6 кВ 2х6,3 МВА до существующих фидеров 6 кВ (Ф-28 ПС Де-Фриз, Ф-15 ПС Надеждинская, Ф-27 ПС Де-Фриз 2 точки)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left="-101" w:right="0" w:firstLine="101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 w:themeColor="text1"/>
                <w:sz w:val="24"/>
                <w:szCs w:val="24"/>
                <w:lang w:val="ru-RU" w:eastAsia="ru-RU" w:bidi="ar-SA"/>
              </w:rPr>
              <w:t>Надеждинский район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/>
                <w:i w:val="false"/>
                <w:i w:val="false"/>
                <w:iCs w:val="false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/>
                <w:i w:val="false"/>
                <w:iCs w:val="false"/>
                <w:color w:val="000000" w:themeColor="text1"/>
                <w:sz w:val="24"/>
                <w:szCs w:val="26"/>
                <w:lang w:val="ru-RU" w:eastAsia="ru-RU" w:bidi="ar-SA"/>
              </w:rPr>
              <w:t>Ориентировочная протяженность от ПС до РТП 50м, от РТП до Ф-15 (КТП 5141) — 2,6км, от РТП до врезки в ф.27,ф.Пс Де-Фриз — 1,4км (уточняется при проектировании)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-16" w:firstLine="567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-16" w:firstLine="567"/>
        <w:jc w:val="both"/>
        <w:rPr/>
      </w:pPr>
      <w:r>
        <w:rPr>
          <w:b/>
          <w:bCs/>
          <w:sz w:val="24"/>
          <w:szCs w:val="24"/>
        </w:rPr>
        <w:t>Требования для ЛЭП предусмотреть в соответствии с техническими требованиями на ПИР к настоящему ТТ (Приложение 4).</w:t>
      </w:r>
    </w:p>
    <w:p>
      <w:pPr>
        <w:pStyle w:val="2"/>
        <w:numPr>
          <w:ilvl w:val="0"/>
          <w:numId w:val="2"/>
        </w:numPr>
        <w:rPr/>
      </w:pPr>
      <w:bookmarkStart w:id="7" w:name="_Toc54646403"/>
      <w:bookmarkStart w:id="8" w:name="_Toc51339693"/>
      <w:bookmarkStart w:id="9" w:name="_Toc54646400_Копия_1"/>
      <w:bookmarkStart w:id="10" w:name="_Toc46743510"/>
      <w:bookmarkStart w:id="11" w:name="_Toc50125126"/>
      <w:bookmarkEnd w:id="7"/>
      <w:bookmarkEnd w:id="8"/>
      <w:bookmarkEnd w:id="9"/>
      <w:bookmarkEnd w:id="10"/>
      <w:bookmarkEnd w:id="11"/>
      <w:r>
        <w:rPr/>
        <w:t>Требования к продукции</w:t>
      </w:r>
    </w:p>
    <w:p>
      <w:pPr>
        <w:pStyle w:val="4"/>
        <w:numPr>
          <w:ilvl w:val="1"/>
          <w:numId w:val="2"/>
        </w:numPr>
        <w:rPr/>
      </w:pPr>
      <w:bookmarkStart w:id="12" w:name="_Toc54646404"/>
      <w:bookmarkEnd w:id="12"/>
      <w:r>
        <w:rPr/>
        <w:t>Требования к объемам и срокам выполнения работ</w:t>
      </w:r>
    </w:p>
    <w:p>
      <w:pPr>
        <w:pStyle w:val="3"/>
        <w:numPr>
          <w:ilvl w:val="0"/>
          <w:numId w:val="0"/>
        </w:numPr>
        <w:ind w:left="0" w:hanging="0"/>
        <w:rPr/>
      </w:pPr>
      <w:bookmarkStart w:id="13" w:name="_Toc54646405"/>
      <w:bookmarkEnd w:id="13"/>
      <w:r>
        <w:rPr/>
        <w:t>2.1.1. Требования к видам и объемам работ</w:t>
      </w:r>
    </w:p>
    <w:p>
      <w:pPr>
        <w:pStyle w:val="3"/>
        <w:numPr>
          <w:ilvl w:val="0"/>
          <w:numId w:val="0"/>
        </w:numPr>
        <w:ind w:left="0" w:hanging="0"/>
        <w:rPr/>
      </w:pPr>
      <w:bookmarkStart w:id="14" w:name="_Toc54646406"/>
      <w:bookmarkStart w:id="15" w:name="_Toc51339695"/>
      <w:r>
        <w:rPr/>
        <w:t xml:space="preserve">Таблица 2. Перечень </w:t>
      </w:r>
      <w:bookmarkEnd w:id="14"/>
      <w:bookmarkEnd w:id="15"/>
      <w:r>
        <w:rPr/>
        <w:t>и объем выполняемых работ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0" w:right="-16" w:firstLine="567"/>
        <w:contextualSpacing/>
        <w:jc w:val="both"/>
        <w:rPr/>
      </w:pPr>
      <w:r>
        <w:rPr>
          <w:b/>
          <w:sz w:val="24"/>
          <w:szCs w:val="24"/>
        </w:rPr>
        <w:t>Обязательным для исполнения Подрядчиком является условие сохранения во всех выпускаемых документах (рабочая документация, локальные сметные расчёты, техническая документация, акты выполненных работ, правоустанавливающие документы на земельные участки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и т.д.) единого наименования объектов:</w:t>
      </w:r>
    </w:p>
    <w:tbl>
      <w:tblPr>
        <w:tblW w:w="10093" w:type="dxa"/>
        <w:jc w:val="left"/>
        <w:tblInd w:w="151" w:type="dxa"/>
        <w:tblLayout w:type="fixed"/>
        <w:tblCellMar>
          <w:top w:w="0" w:type="dxa"/>
          <w:left w:w="2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48"/>
        <w:gridCol w:w="5466"/>
        <w:gridCol w:w="1843"/>
        <w:gridCol w:w="1835"/>
      </w:tblGrid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Инженерные изыскания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выполнения работ подготовить и согласовать с Заказчиком задание на проведение изысканий.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Задание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программу инженерных изысканий, устанавливающую состав и объем инженерных изысканий и метод их выполнения и представить Программу инженерных изысканий Заказчику для утверждения.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Программа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ind w:hanging="0"/>
              <w:jc w:val="both"/>
              <w:rPr/>
            </w:pPr>
            <w:r>
              <w:rPr>
                <w:sz w:val="24"/>
                <w:szCs w:val="24"/>
              </w:rPr>
              <w:t xml:space="preserve">Выполнить комплекс </w:t>
            </w:r>
            <w:r>
              <w:rPr>
                <w:color w:val="000000" w:themeColor="text1"/>
                <w:sz w:val="24"/>
                <w:szCs w:val="24"/>
              </w:rPr>
              <w:t xml:space="preserve">инженерных изысканий необходимых 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для подготовки проектной документации на объекты </w:t>
            </w:r>
            <w:r>
              <w:rPr>
                <w:color w:val="000000" w:themeColor="text1"/>
                <w:sz w:val="24"/>
                <w:szCs w:val="24"/>
              </w:rPr>
              <w:t>в объеме, необходимом для разработки РД и выполнения строительно-монтажных работ.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Технический отчет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>
        <w:trPr>
          <w:trHeight w:val="456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left" w:pos="1134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Оформление правоустанавливающих, исходно-разрешительных документов на использование земельных участков под объект строительства: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9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/>
            </w:pPr>
            <w:r>
              <w:rPr>
                <w:b/>
                <w:sz w:val="24"/>
                <w:szCs w:val="24"/>
              </w:rPr>
              <w:t>В отношении объектов строительства, планируемых к расположению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>
              <w:rPr>
                <w:sz w:val="24"/>
                <w:szCs w:val="24"/>
              </w:rPr>
              <w:t>: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ind w:firstLine="350"/>
              <w:rPr>
                <w:rStyle w:val="Style16"/>
                <w:b w:val="false"/>
                <w:b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с представителем АО «ДРСК» на предполагаемое место строительства, для определения трассы объекта;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разработки РД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33" w:leader="none"/>
              </w:tabs>
              <w:suppressAutoHyphens w:val="true"/>
              <w:ind w:right="-16" w:firstLine="350"/>
              <w:jc w:val="both"/>
              <w:rPr>
                <w:rStyle w:val="Style16"/>
                <w:b w:val="false"/>
                <w:b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предварительно выбранного варианта прохождения трассы,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получить сведений из Единого государственного реестра недвижимости (ЕГРН) в виде кадастрового плана территорий (КПТ) и (или) выписки об основных характеристиках и зарегистрированных правах на объект недвижимости;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КПТ,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выписка из ЕГРН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Изготовить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Схема границ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2.1.4.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Согласовать с Заказчиком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Схема границ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2.1.5.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места размещения объекта с организациями-сетедержателями;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Согласование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2.1.6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и направить заявление о выдаче разрешения на размещение объекта в орган, уполномоченный на выдачу разрешения на размещение объекта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Заявление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2.1.7.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Получить и передать Заказчику разрешение на размещение объекта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Разрешение на размещение объекта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2.1.8.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 местности границ, предполагаемых к использованию земель или части земельного участка, после получения разрешения на размещение объекта (вынос в натуру).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9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/>
            </w:pPr>
            <w:r>
              <w:rPr>
                <w:b/>
                <w:sz w:val="24"/>
                <w:szCs w:val="24"/>
              </w:rPr>
              <w:t>В отношении объектов строительства, планируемых к расположению на земельных участках, находящихся в собственности третьих лиц: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ЕГРН: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в виде кадастрового плана территории;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об основных характеристиках и зарегистрированных правах на объект недвижимости.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Сведения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КПТ,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выписка из ЕГРН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2.2.2.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ind w:right="-16" w:hanging="0"/>
              <w:jc w:val="both"/>
              <w:rPr/>
            </w:pPr>
            <w:r>
              <w:rPr>
                <w:sz w:val="24"/>
                <w:szCs w:val="24"/>
              </w:rPr>
              <w:t>Подготовить и направить на согласование Заказчику схему обзорного плана объекта. Заказчик согласовывает план трассы, а также определяет правовой титул оформления правоустанавливающих документов на использование земельных участков.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3" w:leader="none"/>
              </w:tabs>
              <w:suppressAutoHyphens w:val="true"/>
              <w:ind w:right="-16" w:firstLine="3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Обзорный план трассы на кадастровом плане территории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в форме электронного документа сведения о границах территории, в отношении которой устанавливается публичный сервитут (далее - границы публичного сервитута),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(в соответствии с требованиями приказа Федеральной службы государственной регистрации, кадастра и картографии от 13.01. 2021 г. N П/0004);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Схема границ земель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-подготовить расчеты и доводы, касающиеся наиболее целесообразного способа установления публичного сервитута, в том числе с учетом необходимости обеспечения безопасной эксплуатации инженерного сооружения, в целях размещения которого подано ходатайство об установлении публичного сервитута, обеспечения безопасности населения, существующих зданий, сооружений, а также соблюдения требований, установленных пунктами 8 и 9 статьи 23 Земельного кодекса Российской Федерации;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Расчеты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2.2.4.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 обоснование невозможности размещения инженерного сооружения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 (а в случаях, предусмотренных пунктом 5 статьи 39.39 Земельного кодекса Российской Федерации, также обоснование невозможности размещения инженерного сооружения на земельных участках, относящихся к имуществу общего пользования), таким образом,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участках, принадлежащих гражданам и юридическим лицам.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Обоснование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2.2.5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кадастровый план территории либо его фрагмент, на котором приводится изображение сравнительных вариантов размещения соответствующих инженерных сооружений: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 земельных участках, предоставленных или принадлежащих гражданам и (или) юридическим лицам;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б)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2.2.6.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получить предварительное согласие правообладателей (собственников) данных земельных участков на установление публичных сервитутов в целях строительства и эксплуатации объектов электросетевого хозяйства, либо обратиться к правообладателям земельных участков с предложением заключить соглашение об установлении сервитута.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предварительное согласие правообладателей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2.2.7.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подготовить ходатайство об установлении публичного сервитута, (в соответствии с Приказом Росреестра от 19.04.2022 N П/0150 "Об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сервитута").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ходатайство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2.2.8.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пересечении автомобильных дорог муниципального, регионального значения подготовить графический материалы в соответствии с требованиями предусмотренные статьей 19 Федерального закона от 8.11.2007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в случае, если подано ходатайство об установлении публичного сервитута в целях, предусмотренных частью 4.2 статьи 25 указанного Федерального закона;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графический материалы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2.2.9.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/>
            </w:pPr>
            <w:r>
              <w:rPr>
                <w:sz w:val="24"/>
                <w:szCs w:val="24"/>
              </w:rPr>
              <w:t xml:space="preserve">- подготовка отчетов об оценке рыночной стоимости платы за Соглашение об осуществлении публичного сервитута </w:t>
            </w:r>
            <w:r>
              <w:rPr>
                <w:sz w:val="24"/>
                <w:szCs w:val="24"/>
                <w:lang w:eastAsia="en-US"/>
              </w:rPr>
              <w:t xml:space="preserve">определяемый в соответствии с Федеральным </w:t>
            </w:r>
            <w:hyperlink r:id="rId2">
              <w:r>
                <w:rPr>
                  <w:vanish/>
                  <w:sz w:val="24"/>
                  <w:szCs w:val="24"/>
                  <w:lang w:eastAsia="en-US"/>
                </w:rPr>
                <w:t>законом</w:t>
              </w:r>
            </w:hyperlink>
            <w:r>
              <w:rPr>
                <w:sz w:val="24"/>
                <w:szCs w:val="24"/>
                <w:lang w:eastAsia="en-US"/>
              </w:rPr>
              <w:t xml:space="preserve"> "Об оценочной деятельности в Российской Федерации".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Отчет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2.2.10</w:t>
            </w:r>
            <w:r>
              <w:rPr/>
              <w:t>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прохождении трассы объекта строительства, планируемого к расположению на землях лесного фонда, находящегося в государственной собственности, в пользовании третьих лиц, подготовить и передать Заказчику: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графическое описание местоположения границ, соглашение об установлении сервитута на части лесного участка;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/>
            </w:pPr>
            <w:r>
              <w:rPr>
                <w:sz w:val="24"/>
                <w:szCs w:val="24"/>
              </w:rPr>
              <w:t>- проект освоения лесов (</w:t>
            </w:r>
            <w:r>
              <w:rPr>
                <w:i/>
                <w:iCs/>
                <w:sz w:val="24"/>
                <w:szCs w:val="24"/>
              </w:rPr>
              <w:t>в соответствии с Приказом Минприроды России от 16.11.2021 N 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</w:t>
            </w:r>
            <w:r>
              <w:rPr>
                <w:sz w:val="24"/>
                <w:szCs w:val="24"/>
              </w:rPr>
              <w:t>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strike w:val="false"/>
                <w:dstrike w:val="false"/>
                <w:highlight w:val="yellow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- лесную декларацию</w:t>
            </w:r>
            <w:r>
              <w:rPr>
                <w:i/>
                <w:iCs/>
                <w:strike w:val="false"/>
                <w:dstrike w:val="false"/>
                <w:sz w:val="24"/>
                <w:szCs w:val="24"/>
              </w:rPr>
              <w:t xml:space="preserve"> (в соответствии с Приказом Минприроды России от 29.04.2021 N 303 «Об утверждении формы лесной декларации, порядка ее заполнения и подачи, требований к формату лесной декларации в электронной форме»;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strike w:val="false"/>
                <w:dstrike w:val="false"/>
                <w:highlight w:val="yellow"/>
              </w:rPr>
            </w:pPr>
            <w:r>
              <w:rPr>
                <w:strike w:val="false"/>
                <w:dstrike w:val="false"/>
                <w:sz w:val="24"/>
                <w:szCs w:val="24"/>
              </w:rPr>
              <w:t>- отчеты в установленной форме (1 ИЛ, 1 ОЛ, 1 ЗЛ, 1 ВЛ и др).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2.2.11.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обращения о заключении соглашения об установлении сервитута собственнику земельного участка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</w:t>
            </w:r>
            <w:r>
              <w:rPr>
                <w:sz w:val="24"/>
                <w:szCs w:val="24"/>
              </w:rPr>
              <w:t>;.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обращение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2.2.12.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кадастровых работ, в результате которых обеспечивается подготовка документов для предоставления в орган, осуществляющий государственный кадастровый учет и государственную регистрацию прав заявления об учете части земельного участка (при необходимости).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2.2.13</w:t>
            </w:r>
            <w:r>
              <w:rPr/>
              <w:t>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государственного кадастрового учета части земельного участка (при необходимости)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Государственный кадастровый учет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>
          <w:trHeight w:val="918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2.2.14</w:t>
            </w:r>
            <w:r>
              <w:rPr/>
              <w:t>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lineRule="auto" w:line="240" w:before="0" w:after="0"/>
              <w:ind w:left="0" w:right="-1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соглашения об установлении сервитута и передача их Заказчику </w:t>
            </w:r>
            <w:r>
              <w:rPr>
                <w:i/>
                <w:iCs/>
                <w:sz w:val="24"/>
                <w:szCs w:val="24"/>
              </w:rPr>
              <w:t>(при наличии доверенности на представление интересов АО «ДРСК»)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Соглашение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 местности границ земельного участка, в отношении которого получено разрешение на использование земель, решение об установлении публичного сервитута.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Акт закрепления границ земельного участка на местности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>3.</w:t>
            </w:r>
          </w:p>
        </w:tc>
        <w:tc>
          <w:tcPr>
            <w:tcW w:w="91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рабочей документации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040" w:leader="none"/>
              </w:tabs>
              <w:spacing w:before="0" w:after="0"/>
              <w:ind w:firstLine="208"/>
              <w:contextualSpacing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необходимых технических условия специализированных организаций и балансодержателей инженерных сетей и коммуникаций, необходимых для проведения работ по разработке РД.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ind w:right="-16" w:hanging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 (технические условия, согласование)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022" w:hRule="atLeast"/>
        </w:trPr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выдать рабочую документацию в объеме, достаточном для выполнения строительно-монтажных и пусконаладочных работ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pacing w:val="-4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 (Комплект)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РД с Заказчиком.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 (Согласование)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сметной документации (стоимости строительства).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 (Комплект)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3.5.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 выявлении зеленых насаждений в полосе проектирования ЛЭП на муниципальных землях выполнить подеревную съемку.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3.6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/>
              <w:contextualSpacing/>
              <w:jc w:val="both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случае размещения объектов строительства на землях лесного фонда Проектировщик уведомляет Заказчика для принятия решения по выполнению проекта освоения лесов в соответствии с Лесным кодексом РФ и иными нормативными актами, действующими на период проектирования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Проект освоения лесов, лесная декларация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ru-RU" w:eastAsia="ru-RU" w:bidi="ar-SA"/>
              </w:rPr>
              <w:t>3.7.</w:t>
            </w:r>
          </w:p>
        </w:tc>
        <w:tc>
          <w:tcPr>
            <w:tcW w:w="5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составе РД передать Заказчику материалы по геодезической разбивочной основе, созданной в виде сети закрепленных знаками геодезических пунктов в местах, обеспечивающих их сохранность на весь период строительства с учетом удобства, определения положения здания (сооружения) на местности и обеспечивающих выполнение дальнейших построений и измерений в процессе строительства с необходимой точностью.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Геодезическую разбивочную основу для строительства создать с привязкой к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имеющимся в районе строительства пунктам государственных геодезических сетей или к пунктам сетей, имеющих координаты и отметки в системе координат МСК-25.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Акт ГРО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>
      <w:pPr>
        <w:pStyle w:val="4"/>
        <w:numPr>
          <w:ilvl w:val="0"/>
          <w:numId w:val="0"/>
        </w:numPr>
        <w:ind w:left="0" w:hanging="0"/>
        <w:rPr/>
      </w:pPr>
      <w:r>
        <w:rPr/>
      </w:r>
    </w:p>
    <w:p>
      <w:pPr>
        <w:pStyle w:val="4"/>
        <w:numPr>
          <w:ilvl w:val="2"/>
          <w:numId w:val="3"/>
        </w:numPr>
        <w:rPr/>
      </w:pPr>
      <w:r>
        <w:rPr/>
        <w:t>Требования к срокам выполнения работ.</w:t>
      </w:r>
    </w:p>
    <w:p>
      <w:pPr>
        <w:pStyle w:val="3"/>
        <w:numPr>
          <w:ilvl w:val="0"/>
          <w:numId w:val="0"/>
        </w:numPr>
        <w:ind w:left="0" w:hanging="0"/>
        <w:rPr/>
      </w:pPr>
      <w:r>
        <w:rPr/>
        <w:t xml:space="preserve">Таблица 3. </w:t>
      </w:r>
      <w:bookmarkStart w:id="16" w:name="_Hlk50465284"/>
      <w:r>
        <w:rPr/>
        <w:t xml:space="preserve">Требования по срокам </w:t>
      </w:r>
      <w:bookmarkEnd w:id="16"/>
      <w:r>
        <w:rPr/>
        <w:t>выполнения работ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088" w:type="dxa"/>
        <w:jc w:val="left"/>
        <w:tblInd w:w="43" w:type="dxa"/>
        <w:tblLayout w:type="fixed"/>
        <w:tblCellMar>
          <w:top w:w="0" w:type="dxa"/>
          <w:left w:w="2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3"/>
        <w:gridCol w:w="2710"/>
        <w:gridCol w:w="3294"/>
        <w:gridCol w:w="3540"/>
      </w:tblGrid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5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5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b/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  <w:t>1.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Инженерные изыскания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52"/>
              <w:keepNext w:val="false"/>
              <w:widowControl w:val="false"/>
              <w:spacing w:before="40" w:after="40"/>
              <w:ind w:left="0" w:right="57" w:hanging="0"/>
              <w:rPr>
                <w:b/>
                <w:b/>
                <w:i/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 начала действия договора подряда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52"/>
              <w:keepNext w:val="false"/>
              <w:widowControl w:val="false"/>
              <w:spacing w:before="40" w:after="40"/>
              <w:jc w:val="center"/>
              <w:rPr>
                <w:b/>
                <w:b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В течение 1 календарного месяца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0" w:hanging="0"/>
              <w:rPr>
                <w:b/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trike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Оформление правоустанавливающих документов на земельные участки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 начала действия договора подряда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В течение 2 календарных месяцев</w:t>
            </w:r>
          </w:p>
        </w:tc>
      </w:tr>
      <w:tr>
        <w:trPr/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Разработка, согласование с Заказчиком рабочей документации.</w:t>
            </w:r>
          </w:p>
        </w:tc>
        <w:tc>
          <w:tcPr>
            <w:tcW w:w="3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 начала действия договора подряда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  <w:shd w:fill="FFFFFF" w:val="clear"/>
              </w:rPr>
              <w:t>90 дней с момента заключения договора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276" w:right="709" w:header="709" w:top="851" w:footer="0" w:bottom="709" w:gutter="0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4"/>
        <w:numPr>
          <w:ilvl w:val="1"/>
          <w:numId w:val="3"/>
        </w:numPr>
        <w:rPr/>
      </w:pPr>
      <w:r>
        <mc:AlternateContent>
          <mc:Choice Requires="wps">
            <w:drawing>
              <wp:anchor behindDoc="0" distT="0" distB="635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4765" cy="17462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style="position:absolute;margin-left:0pt;margin-top:0.05pt;width:1.85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 xml:space="preserve"> </w:t>
      </w:r>
      <w:r>
        <w:rPr/>
        <w:t>Требования к качеству работ</w:t>
      </w:r>
    </w:p>
    <w:p>
      <w:pPr>
        <w:pStyle w:val="3"/>
        <w:numPr>
          <w:ilvl w:val="0"/>
          <w:numId w:val="0"/>
        </w:numPr>
        <w:ind w:left="0" w:hanging="0"/>
        <w:rPr/>
      </w:pPr>
      <w:bookmarkStart w:id="17" w:name="_Toc54646410"/>
      <w:bookmarkStart w:id="18" w:name="_Toc50125131"/>
      <w:bookmarkStart w:id="19" w:name="_Toc51339698"/>
      <w:r>
        <w:rPr/>
        <w:t xml:space="preserve">Таблица 4. Требования к </w:t>
      </w:r>
      <w:bookmarkEnd w:id="17"/>
      <w:bookmarkEnd w:id="18"/>
      <w:bookmarkEnd w:id="19"/>
      <w:r>
        <w:rPr/>
        <w:t>качеству работ</w:t>
      </w:r>
    </w:p>
    <w:p>
      <w:pPr>
        <w:pStyle w:val="Normal"/>
        <w:snapToGrid w:val="false"/>
        <w:spacing w:before="0" w:after="120"/>
        <w:rPr/>
      </w:pPr>
      <w:r>
        <w:rPr>
          <w:b/>
          <w:bCs/>
          <w:sz w:val="24"/>
          <w:szCs w:val="24"/>
        </w:rPr>
        <w:t xml:space="preserve">Наименование работ/этапа работ: </w:t>
      </w:r>
      <w:r>
        <w:rPr>
          <w:sz w:val="24"/>
          <w:szCs w:val="24"/>
        </w:rPr>
        <w:t>Кадастровые работы. Работы по оформлению правоустанавливающих, исходно-разрешительных документов на земельные участки под объектами для выполнения мероприятий по реконструкции существующих сетей:</w:t>
      </w:r>
    </w:p>
    <w:tbl>
      <w:tblPr>
        <w:tblStyle w:val="af0"/>
        <w:tblW w:w="15026" w:type="dxa"/>
        <w:jc w:val="left"/>
        <w:tblInd w:w="38" w:type="dxa"/>
        <w:tblLayout w:type="fixed"/>
        <w:tblCellMar>
          <w:top w:w="0" w:type="dxa"/>
          <w:left w:w="3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4"/>
        <w:gridCol w:w="3833"/>
        <w:gridCol w:w="10209"/>
      </w:tblGrid>
      <w:tr>
        <w:trPr>
          <w:trHeight w:val="276" w:hRule="atLeast"/>
        </w:trPr>
        <w:tc>
          <w:tcPr>
            <w:tcW w:w="98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3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2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383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02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3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83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10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Основные НТД к выполнению работ приведены в приложении 2</w:t>
            </w:r>
          </w:p>
        </w:tc>
      </w:tr>
      <w:tr>
        <w:trPr/>
        <w:tc>
          <w:tcPr>
            <w:tcW w:w="98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3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10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-для выполнения работ и оформления соответствующих документов по данным техническим требованиям оформить доверенность для предоставления интересов от лица Заказчика;</w:t>
            </w:r>
          </w:p>
        </w:tc>
      </w:tr>
      <w:tr>
        <w:trPr/>
        <w:tc>
          <w:tcPr>
            <w:tcW w:w="9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-выбор коридора под размещение ЛЭП производить на неразграниченных земельных участках либо на земельных участках, находящихся в государственной или муниципальной собственности и свободных от прав третьих лиц. При отсутствии указанных вариантов выбор коридора производить с наименьшим наложением на земельные участки третьих лиц;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проектировании трассы прохождения ЛЭП не допускать размещение коридора трассы по территориям объектов культурного наследия, земельным участкам предназначенным, для индивидуального жилищного строительства и многоэтажной жилой застройки;</w:t>
            </w:r>
          </w:p>
        </w:tc>
      </w:tr>
      <w:tr>
        <w:trPr/>
        <w:tc>
          <w:tcPr>
            <w:tcW w:w="9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  <w:tc>
          <w:tcPr>
            <w:tcW w:w="10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схемы границ предполагаемых к использованию земель или части земельного участка на КПТ;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подготавливаются отдельно по разным электросетевым объектам;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83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10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разработанные материалы являются собственностью Заказчика и передача их третьим лицам без его согласия запрещается;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выполнении работ Подрядчик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использовать полученные от Заказчика исходные данные, а также другую документацию и информацию только для достижения целей, предусмотренных договорами, заключенными по итогам закрытых запросов цен, не разглашать и не передавать их третьим лицам без письменного согласия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безвозмездно откорректировать документацию по замечаниям Заказчика и предоставить корректировку в течение 3 (трех) рабочих дней;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обнаружении недостатков в документации по требованию Заказчика безвозмездно доработать техническую документацию в течение 5 (пяти) рабочих дней и возместить убытки, связанные с допущенными недостатками;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выполнении работ необходимо применять оборудование и материалы, соответствующие Российским стандартам, сертифицированные в установленном порядке;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письменно согласовывать с Заказчиком заключение Договоров с субподрядчиками.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83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  <w:tc>
          <w:tcPr>
            <w:tcW w:w="102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должен иметь минимально необходимое для выполнения работ количество квалифицированного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 или на ином законном основании)</w:t>
            </w:r>
          </w:p>
        </w:tc>
      </w:tr>
      <w:tr>
        <w:trPr/>
        <w:tc>
          <w:tcPr>
            <w:tcW w:w="98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383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102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iCs/>
                <w:spacing w:val="-7"/>
                <w:kern w:val="0"/>
                <w:sz w:val="24"/>
                <w:szCs w:val="24"/>
                <w:lang w:val="ru-RU" w:eastAsia="ru-RU" w:bidi="ar-SA"/>
              </w:rPr>
              <w:t>ПУД на ЗУ должны быть выданы уполномоченным органом власти и быть действующими, в период реализации объекта.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-схемы границ предполагаемых к использованию земель или части земельного участка на кадастровом плане территории изготовить в количестве 4 (четырех) экземпляров на бумажном носителе и в форме электронного документа в виде файлов в формате *XML *.HTML. Создание XML-схем осуществить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утвержденными в соответствии с действующим законодательством.</w:t>
            </w:r>
          </w:p>
        </w:tc>
      </w:tr>
      <w:tr>
        <w:trPr/>
        <w:tc>
          <w:tcPr>
            <w:tcW w:w="98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3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2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изготовить в соответствии с Приказом Федеральной службы государственной регистрации кадастра и картографии от 13.01.2021 № 4/0004 </w:t>
            </w:r>
            <w:r>
              <w:rPr>
                <w:rFonts w:eastAsia="Times New Roman" w:cs="Times New Roman"/>
                <w:iCs/>
                <w:spacing w:val="-7"/>
                <w:kern w:val="0"/>
                <w:sz w:val="24"/>
                <w:szCs w:val="24"/>
                <w:lang w:val="ru-RU" w:eastAsia="ru-RU" w:bidi="ar-SA"/>
              </w:rPr>
              <w:t>в электронном формате на CD диске в формате XML.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8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102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Графическую информацию оформить в виде файла в формате PDF в полноцветном режиме с разрешением не менее 300 dpi, качество которого должно позволять в полном объеме прочитать (распознать) графическую информацию.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Координаты границ формируемых земельных участков определяются в системе   МСК-25.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83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102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 окончании выполнения работ Подрядчик предоставляет Заказчику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-Оригиналы правоустанавливающих и (или) правоподтверждающих документов Заказчика на земельный участок, полученные в ходе работ, и заверенные в установленном порядке копии правоустанавливающих и (или) правоподтверждающих документов третьих лиц на земельный участок, свидетельствующих о наличии либо отсутствии прав третьих лиц на земельный участок (его часть) и (или) прав на объекты недвижимости при наличии таковых в 1 оригинальном экземпляре на бумажном носителе, на каждый земельный участок отдельно;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Принятое уполномоченным органом власти на установление публичного сервитута, в установленном порядке Решение об установлении публичного сервитута в 1 оригинальном экземпляре на бумажном носителе;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Описание границ публичного сервитута, оформленное в соответствии с требованиями, установленными Приказом Росреестра от 13.01.2021 N П/0004 в 2 экземплярах на бумажном носителе и в электронном формате *XML, созданного с использованием XML-схем на оптических носителях (компакт-дисках, в 2 экземплярах), на каждое решение об установлении сервитута, принятое уполномоченным органом власти, отдельно;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  Схемы границ предполагаемых к использованию земель или части земельного участка на кадастровом плане территории;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Акт закрепления границ земельного(ых) участка(ов) и(или) земель  на местности (вынос в натуру) Заказчику в 2 оригинальных экземплярах на бумажном носителе.</w:t>
            </w:r>
          </w:p>
        </w:tc>
      </w:tr>
      <w:tr>
        <w:trPr/>
        <w:tc>
          <w:tcPr>
            <w:tcW w:w="98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83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1020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 В случае получения Заказчиком отказа на выдачу разрешений на размещение объекта и/или решения об установлении публичного сервитута от органа, государственной власти или органа местного самоуправления, уполномоченного на предоставление земельных участков, находящихся в государственной или муниципальной собственности в связи с нарушениями требований при изготовлении схемы границ предполагаемых к использованию земель или части земельного участка на кадастровом плане территории и/или при изготовлении сведений о границах публичного сервитута, Подрядчик обязан откорректировать указанные документы в течение 3-х дней  с момента получения от Заказчика письменного уведомления о подготовке необходимой корректировки.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napToGrid w:val="false"/>
        <w:spacing w:before="0" w:after="120"/>
        <w:rPr>
          <w:i/>
          <w:i/>
          <w:i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Наименование работ/этапа работ: </w:t>
      </w:r>
      <w:r>
        <w:rPr>
          <w:sz w:val="24"/>
          <w:szCs w:val="24"/>
        </w:rPr>
        <w:t>Разработка и согласование с Заказчиком рабочей документации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f0"/>
        <w:tblW w:w="14884" w:type="dxa"/>
        <w:jc w:val="left"/>
        <w:tblInd w:w="38" w:type="dxa"/>
        <w:tblLayout w:type="fixed"/>
        <w:tblCellMar>
          <w:top w:w="0" w:type="dxa"/>
          <w:left w:w="3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5"/>
        <w:gridCol w:w="3834"/>
        <w:gridCol w:w="10065"/>
      </w:tblGrid>
      <w:tr>
        <w:trPr>
          <w:trHeight w:val="276" w:hRule="atLeast"/>
        </w:trPr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3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0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383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100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8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Основные НТД к выполнению работ приведены в приложении 2</w:t>
            </w:r>
          </w:p>
        </w:tc>
      </w:tr>
      <w:tr>
        <w:trPr/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83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Разработать и выдать рабочую документацию в объеме, достаточном для выполнения строительно-монтажных и пусконаладочных работ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РД необходимо включить: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6"/>
                <w:szCs w:val="26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основании данных по максимальным токовым нагрузкам реконструируемых фидеров выбор сечения провода (кабеля);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план трассы ЛЭП на топографической съемке в М: 1:500;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пояснительная записка с описанием трассы (климатические условия района, начальная точка трассы, конечная точка трассы);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ведомость объемов работ;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спецификация материалов и оборудования.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сметная документация.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Топографо-геодезические работы выполнить в объеме, достаточном для разработки РД и проведения строительно-монтажных работ. Ширину топографической съемки принять 25м. для ВЛ 6/10кВ, 15м. для ВЛ 0,4кВ, 6м для КЛ 6/10-0,4кВ.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Рабочую документацию согласовать со всеми сторонними организациями, чьи интересы затрагиваются в части пересечений, сближений и параллельных следований с инженерными коммуникациями и сетями в объеме выполняемой реконструкции. При пересечении ЛЭП с инженерными сетями сторонних организаций, автодорогами и другими природными преградами, получить от лица заказчика все необходимые согласования и технические условия.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должен согласовать разработанную документацию в соответствующем РЭС и СП (что подтверждается подписью и печатью начальника РЭС, и ответственного лица в СП на титульном листе проекта и на плане проектируемых электросетей) и передать по акту приемки-передачи в следующие подразделения филиала АО «ДРСК» «ПЭС»: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РЭС (1 бумажный экземпляр);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 (1 бумажный экземпляр);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-в Отдел капитального строительства и инвестиций с сопроводительным письмом (1 бумажный экземпляр и 1 экземпляр в электронном виде (формат .pdf и .dwg));</w:t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83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о членстве в СРО</w:t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ListParagraph"/>
              <w:keepNext w:val="true"/>
              <w:keepLines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120"/>
              <w:ind w:left="0" w:hanging="0"/>
              <w:contextualSpacing/>
              <w:jc w:val="both"/>
              <w:rPr>
                <w:kern w:val="0"/>
              </w:rPr>
            </w:pPr>
            <w:r>
              <w:rPr>
                <w:rFonts w:cs="Times New Roman"/>
                <w:bCs/>
                <w:kern w:val="0"/>
                <w:lang w:val="ru-RU" w:eastAsia="x-none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389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Основные характеристики реконструируемого объекта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 кВ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(кабельное, воздушное)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РД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цепей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трассы (ориентировочно)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таблицей 1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8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картографическим материалам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материалах  полосы отвода,  картографический материал предоставить в масштабах 1:500 и 1:2000 на бумажном и электронном носителях, в объеме достаточном для определения местоположения границ земельного участка и красными сплошными линиями должны быть нанесены сами границы охранных зон в соответствии с приказом Ростехнадзора от 17.01.2013 N 9 (ред. от 24.11.2017) "Об утверждении Порядка согласования Федеральной службой по экологическому, технологическому и атомному надзору границ охранных зон в отношении объектов электросетевого хозяйства" (Зарегистрировано в Минюсте России 09.07.2013 N 29031)</w:t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834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Подрядчик в день завершения работ, указанный в календарном графике, направляет в филиал АО «ДРСК» «Приморские ЭС» Акт сдачи-приемки выполненных работ с приложением 4 (четырех) экземпляров ПД в бумажном виде и 1 экземпляр в электронном виде (на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CD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</w:tc>
      </w:tr>
      <w:tr>
        <w:trPr/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834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Акты сдачи-приемки выполненных работ оформляются по форме в соответствии с условиями договора подряда по каждому объекту строительства.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06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bookmarkStart w:id="20" w:name="_GoBack"/>
            <w:bookmarkEnd w:id="2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передает документацию в электронном виде в форматах, указанных в приложении 3</w:t>
            </w:r>
          </w:p>
        </w:tc>
      </w:tr>
      <w:tr>
        <w:trPr/>
        <w:tc>
          <w:tcPr>
            <w:tcW w:w="98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834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Разработанная РД документация является собственностью Заказчика и передача её третьим лицам без его согласия запрещается</w:t>
            </w:r>
          </w:p>
        </w:tc>
      </w:tr>
      <w:tr>
        <w:trPr/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Исключительные права на разработанную в рамках договора РД и на результаты выполнения инженерных изысканий принадлежат Заказчику с момента приемки документации. Заказчик вправе использовать разработанную Подрядчиком в рамках договора проектную документацию и результат выполнения изыскательских работ без согласия Подрядчика в любых целях по усмотрению Заказчика неограниченное число раз.</w:t>
            </w:r>
          </w:p>
        </w:tc>
      </w:tr>
      <w:tr>
        <w:trPr>
          <w:trHeight w:val="1298" w:hRule="atLeast"/>
        </w:trPr>
        <w:tc>
          <w:tcPr>
            <w:tcW w:w="9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834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обеспечивает: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получение всех необходимых согласований, заключений, технических условий;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firstLine="36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внесение изменений в разрабатываемую документацию по требованию Заказчика на всех этапах разработки документации.</w:t>
            </w:r>
          </w:p>
        </w:tc>
      </w:tr>
      <w:tr>
        <w:trPr/>
        <w:tc>
          <w:tcPr>
            <w:tcW w:w="9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8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keepLines/>
        <w:spacing w:before="0" w:after="120"/>
        <w:rPr>
          <w:sz w:val="26"/>
          <w:szCs w:val="26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26" w:leader="none"/>
        </w:tabs>
        <w:spacing w:before="0" w:after="120"/>
        <w:ind w:left="0" w:hanging="0"/>
        <w:contextualSpacing/>
        <w:jc w:val="both"/>
        <w:rPr>
          <w:rFonts w:ascii="Times New Roman" w:hAnsi="Times New Roman"/>
          <w:bCs/>
          <w:i w:val="false"/>
          <w:i w:val="false"/>
          <w:iCs w:val="false"/>
          <w:sz w:val="24"/>
          <w:szCs w:val="24"/>
          <w:lang w:eastAsia="x-none"/>
        </w:rPr>
      </w:pPr>
      <w:r>
        <w:rPr>
          <w:bCs/>
          <w:i w:val="false"/>
          <w:iCs w:val="false"/>
          <w:sz w:val="24"/>
          <w:szCs w:val="24"/>
          <w:lang w:eastAsia="x-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right="0" w:hanging="72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right="0" w:hanging="72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right="0" w:hanging="72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right="0" w:hanging="720"/>
        <w:jc w:val="both"/>
        <w:rPr>
          <w:rFonts w:ascii="Times New Roman" w:hAnsi="Times New Roman"/>
          <w:i/>
          <w:i/>
          <w:sz w:val="26"/>
          <w:szCs w:val="26"/>
        </w:rPr>
      </w:pPr>
      <w:r>
        <w:rPr/>
      </w:r>
    </w:p>
    <w:sectPr>
      <w:headerReference w:type="default" r:id="rId8"/>
      <w:type w:val="nextPage"/>
      <w:pgSz w:w="11906" w:h="16838"/>
      <w:pgMar w:left="1276" w:right="709" w:header="709" w:top="851" w:footer="0" w:bottom="709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color w:val="00000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i w:val="false"/>
        <w:b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uiPriority="99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08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2">
    <w:name w:val="Heading 2"/>
    <w:basedOn w:val="4"/>
    <w:next w:val="Normal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autoRedefine/>
    <w:qFormat/>
    <w:rsid w:val="003c1c59"/>
    <w:pPr>
      <w:keepNext w:val="true"/>
      <w:spacing w:before="0" w:after="60"/>
      <w:ind w:left="0" w:hanging="0"/>
      <w:jc w:val="both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basedOn w:val="3"/>
    <w:next w:val="Normal"/>
    <w:qFormat/>
    <w:rsid w:val="006629c9"/>
    <w:pPr>
      <w:outlineLvl w:val="3"/>
    </w:pPr>
    <w:rPr>
      <w:bCs/>
    </w:rPr>
  </w:style>
  <w:style w:type="paragraph" w:styleId="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uiPriority w:val="99"/>
    <w:qFormat/>
    <w:rsid w:val="00d561d9"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7">
    <w:name w:val="Интернет-ссылка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sz w:val="28"/>
      <w:szCs w:val="28"/>
      <w:lang w:eastAsia="x-none"/>
    </w:rPr>
  </w:style>
  <w:style w:type="character" w:styleId="21" w:customStyle="1">
    <w:name w:val="Заголовок 2 Знак"/>
    <w:qFormat/>
    <w:rsid w:val="00ea61a8"/>
    <w:rPr>
      <w:rFonts w:eastAsia="Calibri"/>
      <w:bCs/>
      <w:sz w:val="24"/>
      <w:szCs w:val="24"/>
      <w:lang w:eastAsia="x-none"/>
    </w:rPr>
  </w:style>
  <w:style w:type="character" w:styleId="31" w:customStyle="1">
    <w:name w:val="Заголовок 3 Знак"/>
    <w:qFormat/>
    <w:rsid w:val="003c1c59"/>
    <w:rPr>
      <w:rFonts w:eastAsia="Calibri"/>
      <w:sz w:val="24"/>
      <w:szCs w:val="24"/>
      <w:lang w:eastAsia="x-none"/>
    </w:rPr>
  </w:style>
  <w:style w:type="character" w:styleId="41" w:customStyle="1">
    <w:name w:val="Заголовок 4 Знак"/>
    <w:uiPriority w:val="9"/>
    <w:qFormat/>
    <w:rsid w:val="006629c9"/>
    <w:rPr>
      <w:rFonts w:eastAsia="Calibri"/>
      <w:bCs/>
      <w:sz w:val="24"/>
      <w:szCs w:val="24"/>
      <w:lang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9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1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2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qFormat/>
    <w:locked/>
    <w:rsid w:val="00d22f6d"/>
    <w:rPr>
      <w:sz w:val="28"/>
    </w:rPr>
  </w:style>
  <w:style w:type="character" w:styleId="Style13" w:customStyle="1">
    <w:name w:val="Текст сноски Знак"/>
    <w:uiPriority w:val="99"/>
    <w:qFormat/>
    <w:rsid w:val="00d22f6d"/>
    <w:rPr/>
  </w:style>
  <w:style w:type="character" w:styleId="Style14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5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6" w:customStyle="1">
    <w:name w:val="комментарий"/>
    <w:qFormat/>
    <w:rsid w:val="0025139e"/>
    <w:rPr>
      <w:i/>
      <w:shd w:fill="FFFF99" w:val="clear"/>
    </w:rPr>
  </w:style>
  <w:style w:type="character" w:styleId="Style17" w:customStyle="1">
    <w:name w:val="Подподпункт Знак"/>
    <w:link w:val="Style22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9" w:customStyle="1">
    <w:name w:val="Текст примечания Знак"/>
    <w:link w:val="Annotationtext"/>
    <w:qFormat/>
    <w:rsid w:val="00dc0f7d"/>
    <w:rPr/>
  </w:style>
  <w:style w:type="character" w:styleId="Style20" w:customStyle="1">
    <w:name w:val="Текст концевой сноски Знак"/>
    <w:basedOn w:val="DefaultParagraphFont"/>
    <w:qFormat/>
    <w:rsid w:val="003879d4"/>
    <w:rPr/>
  </w:style>
  <w:style w:type="character" w:styleId="Style21">
    <w:name w:val="Символ концевой сноски"/>
    <w:qFormat/>
    <w:rsid w:val="003879d4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23" w:customStyle="1">
    <w:name w:val="Пункт2 Знак"/>
    <w:link w:val="23"/>
    <w:qFormat/>
    <w:rsid w:val="00de52bc"/>
    <w:rPr>
      <w:b/>
      <w:sz w:val="28"/>
    </w:rPr>
  </w:style>
  <w:style w:type="character" w:styleId="13" w:customStyle="1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Hl" w:customStyle="1">
    <w:name w:val="hl"/>
    <w:basedOn w:val="DefaultParagraphFont"/>
    <w:qFormat/>
    <w:rsid w:val="009400f6"/>
    <w:rPr/>
  </w:style>
  <w:style w:type="character" w:styleId="Style23" w:customStyle="1">
    <w:name w:val="Текст выноски Знак"/>
    <w:link w:val="BalloonText"/>
    <w:semiHidden/>
    <w:qFormat/>
    <w:rsid w:val="006f3ea6"/>
    <w:rPr>
      <w:rFonts w:ascii="Tahoma" w:hAnsi="Tahoma" w:cs="Tahoma"/>
      <w:sz w:val="16"/>
      <w:szCs w:val="16"/>
    </w:rPr>
  </w:style>
  <w:style w:type="character" w:styleId="Applestylespan" w:customStyle="1">
    <w:name w:val="apple-style-span"/>
    <w:basedOn w:val="DefaultParagraphFont"/>
    <w:qFormat/>
    <w:rsid w:val="006f3ea6"/>
    <w:rPr/>
  </w:style>
  <w:style w:type="character" w:styleId="Appleconvertedspace" w:customStyle="1">
    <w:name w:val="apple-converted-space"/>
    <w:basedOn w:val="DefaultParagraphFont"/>
    <w:qFormat/>
    <w:rsid w:val="006f3ea6"/>
    <w:rPr/>
  </w:style>
  <w:style w:type="character" w:styleId="Style24" w:customStyle="1">
    <w:name w:val="Нижний колонтитул Знак"/>
    <w:basedOn w:val="DefaultParagraphFont"/>
    <w:uiPriority w:val="99"/>
    <w:qFormat/>
    <w:rsid w:val="006f3ea6"/>
    <w:rPr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qFormat/>
    <w:rsid w:val="006f3ea6"/>
    <w:rPr/>
  </w:style>
  <w:style w:type="character" w:styleId="Style25" w:customStyle="1">
    <w:name w:val="Схема документа Знак"/>
    <w:basedOn w:val="DefaultParagraphFont"/>
    <w:link w:val="DocumentMap"/>
    <w:uiPriority w:val="99"/>
    <w:semiHidden/>
    <w:qFormat/>
    <w:rsid w:val="006f3ea6"/>
    <w:rPr>
      <w:rFonts w:ascii="Tahoma" w:hAnsi="Tahoma" w:cs="Tahoma"/>
      <w:sz w:val="16"/>
      <w:szCs w:val="16"/>
    </w:rPr>
  </w:style>
  <w:style w:type="character" w:styleId="Style26" w:customStyle="1">
    <w:name w:val="Тема примечания Знак"/>
    <w:link w:val="Annotationsubject"/>
    <w:semiHidden/>
    <w:qFormat/>
    <w:rsid w:val="006f3ea6"/>
    <w:rPr>
      <w:b/>
      <w:bCs/>
    </w:rPr>
  </w:style>
  <w:style w:type="character" w:styleId="Style27" w:customStyle="1">
    <w:name w:val="Основной текст с отступом Знак"/>
    <w:qFormat/>
    <w:rsid w:val="006f3ea6"/>
    <w:rPr>
      <w:sz w:val="24"/>
      <w:szCs w:val="24"/>
    </w:rPr>
  </w:style>
  <w:style w:type="character" w:styleId="111" w:customStyle="1">
    <w:name w:val="УРОВЕНЬ_1.1.1. Знак"/>
    <w:link w:val="1111"/>
    <w:qFormat/>
    <w:rsid w:val="006f3ea6"/>
    <w:rPr>
      <w:rFonts w:eastAsia="Calibri"/>
      <w:sz w:val="26"/>
      <w:szCs w:val="28"/>
      <w:lang w:eastAsia="en-US"/>
    </w:rPr>
  </w:style>
  <w:style w:type="character" w:styleId="34" w:customStyle="1">
    <w:name w:val="Список мн 3 Знак"/>
    <w:link w:val="37"/>
    <w:uiPriority w:val="99"/>
    <w:qFormat/>
    <w:rsid w:val="006f3ea6"/>
    <w:rPr>
      <w:spacing w:val="-4"/>
      <w:sz w:val="24"/>
      <w:szCs w:val="24"/>
      <w:shd w:fill="FFFFFF" w:val="clear"/>
      <w:lang w:val="x-none" w:eastAsia="x-none"/>
    </w:rPr>
  </w:style>
  <w:style w:type="character" w:styleId="Style28">
    <w:name w:val="Ссылка указателя"/>
    <w:qFormat/>
    <w:rPr/>
  </w:style>
  <w:style w:type="character" w:styleId="Style29">
    <w:name w:val="Основной шрифт абзаца"/>
    <w:qFormat/>
    <w:rPr/>
  </w:style>
  <w:style w:type="paragraph" w:styleId="Style30">
    <w:name w:val="Заголовок"/>
    <w:basedOn w:val="Normal"/>
    <w:next w:val="Style31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31">
    <w:name w:val="Body Text"/>
    <w:basedOn w:val="Normal"/>
    <w:link w:val="FootnoteReference"/>
    <w:rsid w:val="0076353a"/>
    <w:pPr>
      <w:spacing w:before="0" w:after="120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cs="Lohit Devanagari"/>
    </w:rPr>
  </w:style>
  <w:style w:type="paragraph" w:styleId="Style35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6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7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8">
    <w:name w:val="Footnote Text"/>
    <w:basedOn w:val="Normal"/>
    <w:link w:val="Style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1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1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link w:val="Emphasis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41">
    <w:name w:val="Body Text Indent"/>
    <w:basedOn w:val="Normal"/>
    <w:link w:val="Style10"/>
    <w:rsid w:val="0076353a"/>
    <w:pPr>
      <w:ind w:left="360" w:hanging="0"/>
    </w:pPr>
    <w:rPr>
      <w:sz w:val="24"/>
      <w:szCs w:val="24"/>
    </w:rPr>
  </w:style>
  <w:style w:type="paragraph" w:styleId="Style42">
    <w:name w:val="Footer"/>
    <w:basedOn w:val="Normal"/>
    <w:link w:val="Style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1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3" w:customStyle="1">
    <w:name w:val="Подпункт"/>
    <w:basedOn w:val="Normal"/>
    <w:link w:val="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1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44" w:customStyle="1">
    <w:name w:val="Раздел регламента"/>
    <w:basedOn w:val="Normal"/>
    <w:qFormat/>
    <w:rsid w:val="00e228fa"/>
    <w:pPr/>
    <w:rPr/>
  </w:style>
  <w:style w:type="paragraph" w:styleId="Style4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3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link w:val="Style9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7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Hyperlink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8">
    <w:name w:val="Index Heading"/>
    <w:basedOn w:val="Style30"/>
    <w:pPr/>
    <w:rPr/>
  </w:style>
  <w:style w:type="paragraph" w:styleId="TOCHeading">
    <w:name w:val="TOC Heading"/>
    <w:basedOn w:val="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7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38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5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5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5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3" w:customStyle="1">
    <w:name w:val="Подподпункт"/>
    <w:basedOn w:val="Style43"/>
    <w:link w:val="Style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54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5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9" w:customStyle="1">
    <w:name w:val="УРОВЕНЬ_Абзац_тип3"/>
    <w:basedOn w:val="ListParagraph"/>
    <w:link w:val="3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6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sz w:val="40"/>
      <w:szCs w:val="20"/>
      <w:lang w:eastAsia="ru-RU"/>
    </w:rPr>
  </w:style>
  <w:style w:type="paragraph" w:styleId="EndnoteSymbol">
    <w:name w:val="Endnote Symbol"/>
    <w:basedOn w:val="Normal"/>
    <w:link w:val="Style4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5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1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ConsPlusTitle" w:customStyle="1">
    <w:name w:val="ConsPlusTitle"/>
    <w:qFormat/>
    <w:rsid w:val="00385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ListNumber">
    <w:name w:val="List Number"/>
    <w:basedOn w:val="Normal"/>
    <w:semiHidden/>
    <w:unhideWhenUsed/>
    <w:qFormat/>
    <w:rsid w:val="000a107a"/>
    <w:pPr>
      <w:spacing w:lineRule="auto" w:line="360" w:before="60" w:after="0"/>
      <w:jc w:val="both"/>
    </w:pPr>
    <w:rPr/>
  </w:style>
  <w:style w:type="paragraph" w:styleId="Style58" w:customStyle="1">
    <w:name w:val="Обычный+ без отступа"/>
    <w:basedOn w:val="Normal"/>
    <w:qFormat/>
    <w:rsid w:val="006f3ea6"/>
    <w:pPr>
      <w:spacing w:lineRule="auto" w:line="360" w:before="120" w:after="0"/>
      <w:jc w:val="both"/>
    </w:pPr>
    <w:rPr>
      <w:rFonts w:eastAsia="MS Mincho"/>
    </w:rPr>
  </w:style>
  <w:style w:type="paragraph" w:styleId="Style59" w:customStyle="1">
    <w:name w:val="Текст таблицы"/>
    <w:basedOn w:val="Normal"/>
    <w:qFormat/>
    <w:rsid w:val="006f3ea6"/>
    <w:pPr>
      <w:spacing w:before="40" w:after="40"/>
      <w:ind w:left="57" w:right="57" w:hanging="0"/>
    </w:pPr>
    <w:rPr>
      <w:sz w:val="24"/>
      <w:szCs w:val="24"/>
    </w:rPr>
  </w:style>
  <w:style w:type="paragraph" w:styleId="Style60" w:customStyle="1">
    <w:name w:val="Пункт Знак"/>
    <w:basedOn w:val="Normal"/>
    <w:qFormat/>
    <w:rsid w:val="006f3ea6"/>
    <w:pPr>
      <w:tabs>
        <w:tab w:val="clear" w:pos="708"/>
        <w:tab w:val="left" w:pos="851" w:leader="none"/>
        <w:tab w:val="left" w:pos="1134" w:leader="none"/>
        <w:tab w:val="left" w:pos="1844" w:leader="none"/>
      </w:tabs>
      <w:spacing w:lineRule="auto" w:line="360"/>
      <w:ind w:left="1844" w:hanging="567"/>
      <w:jc w:val="both"/>
    </w:pPr>
    <w:rPr>
      <w:b/>
      <w:szCs w:val="20"/>
    </w:rPr>
  </w:style>
  <w:style w:type="paragraph" w:styleId="Style61" w:customStyle="1">
    <w:name w:val="Подподподпункт"/>
    <w:basedOn w:val="Normal"/>
    <w:qFormat/>
    <w:rsid w:val="006f3ea6"/>
    <w:pPr>
      <w:tabs>
        <w:tab w:val="clear" w:pos="708"/>
        <w:tab w:val="left" w:pos="1134" w:leader="none"/>
        <w:tab w:val="left" w:pos="1701" w:leader="none"/>
      </w:tabs>
      <w:spacing w:lineRule="auto" w:line="360"/>
      <w:ind w:left="1718" w:hanging="1008"/>
      <w:jc w:val="both"/>
    </w:pPr>
    <w:rPr>
      <w:szCs w:val="20"/>
    </w:rPr>
  </w:style>
  <w:style w:type="paragraph" w:styleId="113" w:customStyle="1">
    <w:name w:val="Пункт1"/>
    <w:basedOn w:val="Normal"/>
    <w:qFormat/>
    <w:rsid w:val="006f3ea6"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/>
      <w:b/>
    </w:rPr>
  </w:style>
  <w:style w:type="paragraph" w:styleId="310" w:customStyle="1">
    <w:name w:val="Пункт_3"/>
    <w:basedOn w:val="Normal"/>
    <w:uiPriority w:val="99"/>
    <w:qFormat/>
    <w:rsid w:val="006f3ea6"/>
    <w:pPr>
      <w:tabs>
        <w:tab w:val="clear" w:pos="708"/>
        <w:tab w:val="left" w:pos="1134" w:leader="none"/>
      </w:tabs>
      <w:spacing w:lineRule="auto" w:line="360"/>
      <w:ind w:left="1134" w:hanging="1133"/>
      <w:jc w:val="both"/>
    </w:pPr>
    <w:rPr>
      <w:szCs w:val="20"/>
    </w:rPr>
  </w:style>
  <w:style w:type="paragraph" w:styleId="DocumentMap">
    <w:name w:val="Document Map"/>
    <w:basedOn w:val="Normal"/>
    <w:link w:val="Style8"/>
    <w:uiPriority w:val="99"/>
    <w:semiHidden/>
    <w:unhideWhenUsed/>
    <w:qFormat/>
    <w:rsid w:val="006f3ea6"/>
    <w:pPr/>
    <w:rPr>
      <w:rFonts w:ascii="Tahoma" w:hAnsi="Tahoma" w:cs="Tahoma"/>
      <w:sz w:val="16"/>
      <w:szCs w:val="16"/>
    </w:rPr>
  </w:style>
  <w:style w:type="paragraph" w:styleId="Style62" w:customStyle="1">
    <w:name w:val="Знак Знак"/>
    <w:basedOn w:val="Normal"/>
    <w:qFormat/>
    <w:rsid w:val="006f3ea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14" w:customStyle="1">
    <w:name w:val="УРОВЕНЬ_1.1."/>
    <w:basedOn w:val="ListParagraph"/>
    <w:qFormat/>
    <w:rsid w:val="006f3ea6"/>
    <w:pPr>
      <w:keepNext w:val="true"/>
      <w:tabs>
        <w:tab w:val="clear" w:pos="708"/>
        <w:tab w:val="left" w:pos="1844" w:leader="none"/>
      </w:tabs>
      <w:spacing w:lineRule="exact" w:line="360" w:before="240" w:after="0"/>
      <w:ind w:left="1844" w:hanging="567"/>
      <w:contextualSpacing/>
      <w:jc w:val="both"/>
      <w:outlineLvl w:val="1"/>
    </w:pPr>
    <w:rPr>
      <w:b/>
      <w:sz w:val="26"/>
      <w:szCs w:val="28"/>
      <w:lang w:eastAsia="en-US"/>
    </w:rPr>
  </w:style>
  <w:style w:type="paragraph" w:styleId="1111" w:customStyle="1">
    <w:name w:val="УРОВЕНЬ_1.1.1."/>
    <w:basedOn w:val="ListParagraph"/>
    <w:link w:val="111"/>
    <w:qFormat/>
    <w:rsid w:val="006f3ea6"/>
    <w:pPr>
      <w:spacing w:lineRule="exact" w:line="360" w:before="120" w:after="0"/>
      <w:ind w:left="1134" w:hanging="1134"/>
      <w:contextualSpacing/>
      <w:jc w:val="both"/>
      <w:outlineLvl w:val="2"/>
    </w:pPr>
    <w:rPr>
      <w:sz w:val="26"/>
      <w:szCs w:val="28"/>
      <w:lang w:eastAsia="en-US"/>
    </w:rPr>
  </w:style>
  <w:style w:type="paragraph" w:styleId="115" w:customStyle="1">
    <w:name w:val="УРОВЕНЬ_Абзац_тип1"/>
    <w:basedOn w:val="ListParagraph"/>
    <w:qFormat/>
    <w:rsid w:val="006f3ea6"/>
    <w:pPr>
      <w:tabs>
        <w:tab w:val="clear" w:pos="708"/>
        <w:tab w:val="left" w:pos="2592" w:leader="none"/>
      </w:tabs>
      <w:spacing w:lineRule="exact" w:line="360" w:before="120" w:after="0"/>
      <w:ind w:left="2592" w:hanging="1152"/>
      <w:contextualSpacing/>
      <w:jc w:val="both"/>
    </w:pPr>
    <w:rPr>
      <w:sz w:val="26"/>
      <w:szCs w:val="28"/>
      <w:lang w:eastAsia="en-US"/>
    </w:rPr>
  </w:style>
  <w:style w:type="paragraph" w:styleId="311" w:customStyle="1">
    <w:name w:val="Список мн 3"/>
    <w:basedOn w:val="Style41"/>
    <w:link w:val="32"/>
    <w:uiPriority w:val="99"/>
    <w:qFormat/>
    <w:rsid w:val="006f3ea6"/>
    <w:pPr>
      <w:shd w:val="clear" w:color="auto" w:fill="FFFFFF"/>
      <w:tabs>
        <w:tab w:val="clear" w:pos="708"/>
        <w:tab w:val="left" w:pos="1341" w:leader="none"/>
      </w:tabs>
      <w:spacing w:before="120" w:after="60"/>
      <w:ind w:left="-20" w:firstLine="720"/>
      <w:jc w:val="both"/>
      <w:outlineLvl w:val="2"/>
    </w:pPr>
    <w:rPr>
      <w:spacing w:val="-4"/>
      <w:lang w:val="x-none" w:eastAsia="x-none"/>
    </w:rPr>
  </w:style>
  <w:style w:type="paragraph" w:styleId="Style63" w:customStyle="1">
    <w:name w:val="[РГ] Текст"/>
    <w:basedOn w:val="Normal"/>
    <w:qFormat/>
    <w:rsid w:val="000144d6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6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6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9787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2C75-FC83-461B-AD3B-CEF230BC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Application>LibreOffice/7.1.8.1$Linux_X86_64 LibreOffice_project/10$Build-1</Application>
  <AppVersion>15.0000</AppVersion>
  <Pages>16</Pages>
  <Words>3394</Words>
  <Characters>23474</Characters>
  <CharactersWithSpaces>26498</CharactersWithSpaces>
  <Paragraphs>415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2023-09-06T22:21:00Z</dcterms:created>
  <dc:creator>Быстров Олег Геннадьевич</dc:creator>
  <dc:description/>
  <dc:language>ru-RU</dc:language>
  <cp:lastModifiedBy/>
  <dcterms:modified xsi:type="dcterms:W3CDTF">2026-07-13T14:01:05Z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