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2CDC7155"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737FC3">
        <w:rPr>
          <w:rFonts w:ascii="Times New Roman" w:eastAsia="Times New Roman" w:hAnsi="Times New Roman" w:cs="Times New Roman"/>
          <w:b/>
          <w:bCs/>
          <w:kern w:val="28"/>
          <w:sz w:val="24"/>
          <w:szCs w:val="24"/>
          <w:lang w:eastAsia="x-none"/>
        </w:rPr>
        <w:t>41</w:t>
      </w:r>
      <w:r w:rsidR="00114E60">
        <w:rPr>
          <w:rFonts w:ascii="Times New Roman" w:eastAsia="Times New Roman" w:hAnsi="Times New Roman" w:cs="Times New Roman"/>
          <w:b/>
          <w:bCs/>
          <w:kern w:val="28"/>
          <w:sz w:val="24"/>
          <w:szCs w:val="24"/>
          <w:lang w:eastAsia="x-none"/>
        </w:rPr>
        <w:t>9</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CA433E">
        <w:rPr>
          <w:rFonts w:ascii="Times New Roman" w:eastAsia="Times New Roman" w:hAnsi="Times New Roman" w:cs="Times New Roman"/>
          <w:b/>
          <w:bCs/>
          <w:kern w:val="28"/>
          <w:sz w:val="24"/>
          <w:szCs w:val="24"/>
          <w:lang w:eastAsia="x-none"/>
        </w:rPr>
        <w:t>1</w:t>
      </w:r>
      <w:r w:rsidR="00737FC3">
        <w:rPr>
          <w:rFonts w:ascii="Times New Roman" w:eastAsia="Times New Roman" w:hAnsi="Times New Roman" w:cs="Times New Roman"/>
          <w:b/>
          <w:bCs/>
          <w:kern w:val="28"/>
          <w:sz w:val="24"/>
          <w:szCs w:val="24"/>
          <w:lang w:eastAsia="x-none"/>
        </w:rPr>
        <w:t>3</w:t>
      </w:r>
      <w:r w:rsidR="00A97D88" w:rsidRPr="00E43F96">
        <w:rPr>
          <w:rFonts w:ascii="Times New Roman" w:eastAsia="Times New Roman" w:hAnsi="Times New Roman" w:cs="Times New Roman"/>
          <w:b/>
          <w:bCs/>
          <w:kern w:val="28"/>
          <w:sz w:val="24"/>
          <w:szCs w:val="24"/>
          <w:lang w:eastAsia="x-none"/>
        </w:rPr>
        <w:t xml:space="preserve"> </w:t>
      </w:r>
      <w:r w:rsidR="000C3520">
        <w:rPr>
          <w:rFonts w:ascii="Times New Roman" w:eastAsia="Times New Roman" w:hAnsi="Times New Roman" w:cs="Times New Roman"/>
          <w:b/>
          <w:bCs/>
          <w:kern w:val="28"/>
          <w:sz w:val="24"/>
          <w:szCs w:val="24"/>
          <w:lang w:eastAsia="x-none"/>
        </w:rPr>
        <w:t>июл</w:t>
      </w:r>
      <w:r w:rsidR="003A6157">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2748CBA7" w:rsidR="00D96BBF" w:rsidRPr="00CB48EE" w:rsidRDefault="00AE6940" w:rsidP="00114E60">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114E60">
        <w:rPr>
          <w:lang w:val="ru-RU"/>
        </w:rPr>
        <w:t>п</w:t>
      </w:r>
      <w:r w:rsidR="00114E60" w:rsidRPr="00114E60">
        <w:rPr>
          <w:lang w:val="ru-RU"/>
        </w:rPr>
        <w:t>оставк</w:t>
      </w:r>
      <w:r w:rsidR="00114E60">
        <w:rPr>
          <w:lang w:val="ru-RU"/>
        </w:rPr>
        <w:t>у</w:t>
      </w:r>
      <w:r w:rsidR="00114E60" w:rsidRPr="00114E60">
        <w:rPr>
          <w:lang w:val="ru-RU"/>
        </w:rPr>
        <w:t xml:space="preserve"> офисной мебели</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5CFB07B7" w:rsidR="00F4735C" w:rsidRDefault="00F4735C" w:rsidP="001D4901">
      <w:pPr>
        <w:pStyle w:val="a7"/>
        <w:shd w:val="clear" w:color="auto" w:fill="FFFFFF"/>
        <w:tabs>
          <w:tab w:val="left" w:pos="1418"/>
        </w:tabs>
        <w:spacing w:after="0"/>
        <w:ind w:left="0" w:right="159" w:firstLine="568"/>
        <w:jc w:val="both"/>
        <w:rPr>
          <w:rFonts w:ascii="Times New Roman" w:eastAsia="Times New Roman" w:hAnsi="Times New Roman"/>
          <w:lang w:eastAsia="ru-RU"/>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p w14:paraId="2691497D" w14:textId="458F3699" w:rsidR="00F4735C" w:rsidRPr="001D4901" w:rsidRDefault="001D4901" w:rsidP="001D4901">
      <w:pPr>
        <w:spacing w:after="0" w:line="240" w:lineRule="auto"/>
        <w:ind w:firstLine="568"/>
        <w:jc w:val="both"/>
        <w:rPr>
          <w:rFonts w:ascii="Times New Roman" w:eastAsia="Times New Roman" w:hAnsi="Times New Roman" w:cs="Times New Roman"/>
          <w:b/>
          <w:sz w:val="24"/>
          <w:szCs w:val="24"/>
          <w:lang w:eastAsia="ru-RU"/>
        </w:rPr>
      </w:pPr>
      <w:r w:rsidRPr="001D4901">
        <w:rPr>
          <w:rFonts w:ascii="Times New Roman" w:eastAsia="Times New Roman" w:hAnsi="Times New Roman" w:cs="Times New Roman"/>
          <w:b/>
          <w:sz w:val="24"/>
          <w:szCs w:val="24"/>
          <w:lang w:eastAsia="ru-RU"/>
        </w:rPr>
        <w:t xml:space="preserve"> </w:t>
      </w:r>
      <w:r w:rsidR="00CA433E">
        <w:rPr>
          <w:rFonts w:ascii="Times New Roman" w:eastAsia="Times New Roman" w:hAnsi="Times New Roman" w:cs="Times New Roman"/>
          <w:b/>
          <w:sz w:val="24"/>
          <w:szCs w:val="24"/>
          <w:lang w:eastAsia="ru-RU"/>
        </w:rPr>
        <w:t xml:space="preserve"> </w:t>
      </w:r>
      <w:r w:rsidR="00CA433E" w:rsidRPr="00CA433E">
        <w:rPr>
          <w:rFonts w:ascii="Times New Roman" w:eastAsia="Times New Roman" w:hAnsi="Times New Roman" w:cs="Times New Roman"/>
          <w:b/>
          <w:sz w:val="24"/>
          <w:szCs w:val="24"/>
          <w:lang w:eastAsia="ru-RU"/>
        </w:rPr>
        <w:t>Мера применения национально</w:t>
      </w:r>
      <w:r w:rsidR="00CA433E">
        <w:rPr>
          <w:rFonts w:ascii="Times New Roman" w:eastAsia="Times New Roman" w:hAnsi="Times New Roman" w:cs="Times New Roman"/>
          <w:b/>
          <w:sz w:val="24"/>
          <w:szCs w:val="24"/>
          <w:lang w:eastAsia="ru-RU"/>
        </w:rPr>
        <w:t>го режима (</w:t>
      </w:r>
      <w:r w:rsidR="00114E60">
        <w:rPr>
          <w:rFonts w:ascii="Times New Roman" w:eastAsia="Times New Roman" w:hAnsi="Times New Roman" w:cs="Times New Roman"/>
          <w:b/>
          <w:sz w:val="24"/>
          <w:szCs w:val="24"/>
          <w:lang w:eastAsia="ru-RU"/>
        </w:rPr>
        <w:t>ограничение</w:t>
      </w:r>
      <w:r w:rsidR="00CA433E" w:rsidRPr="00CA433E">
        <w:rPr>
          <w:rFonts w:ascii="Times New Roman" w:eastAsia="Times New Roman" w:hAnsi="Times New Roman" w:cs="Times New Roman"/>
          <w:b/>
          <w:sz w:val="24"/>
          <w:szCs w:val="24"/>
          <w:lang w:eastAsia="ru-RU"/>
        </w:rPr>
        <w:t>)</w:t>
      </w:r>
      <w:r w:rsidR="00CA433E">
        <w:rPr>
          <w:rFonts w:ascii="Times New Roman" w:eastAsia="Times New Roman" w:hAnsi="Times New Roman" w:cs="Times New Roman"/>
          <w:b/>
          <w:sz w:val="24"/>
          <w:szCs w:val="24"/>
          <w:lang w:eastAsia="ru-RU"/>
        </w:rPr>
        <w:t xml:space="preserve"> – УСТАНОВЛЕН</w:t>
      </w:r>
      <w:r w:rsidR="00114E60">
        <w:rPr>
          <w:rFonts w:ascii="Times New Roman" w:eastAsia="Times New Roman" w:hAnsi="Times New Roman" w:cs="Times New Roman"/>
          <w:b/>
          <w:sz w:val="24"/>
          <w:szCs w:val="24"/>
          <w:lang w:eastAsia="ru-RU"/>
        </w:rPr>
        <w:t>О</w:t>
      </w:r>
      <w:r w:rsidR="00CA433E">
        <w:rPr>
          <w:rFonts w:ascii="Times New Roman" w:eastAsia="Times New Roman" w:hAnsi="Times New Roman" w:cs="Times New Roman"/>
          <w:b/>
          <w:sz w:val="24"/>
          <w:szCs w:val="24"/>
          <w:lang w:eastAsia="ru-RU"/>
        </w:rPr>
        <w:t>.</w:t>
      </w:r>
    </w:p>
    <w:p w14:paraId="11C0465B" w14:textId="77777777" w:rsidR="001D4901" w:rsidRPr="00F4735C" w:rsidRDefault="001D4901" w:rsidP="001D4901">
      <w:pPr>
        <w:spacing w:after="0" w:line="240" w:lineRule="auto"/>
        <w:ind w:firstLine="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lastRenderedPageBreak/>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08EEFAAB" w:rsidR="008206BF" w:rsidRPr="000928E3"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114E60">
        <w:rPr>
          <w:b/>
          <w:bCs/>
          <w:lang w:val="ru-RU"/>
        </w:rPr>
        <w:t>367 610</w:t>
      </w:r>
      <w:r w:rsidR="00484080">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114E60">
        <w:rPr>
          <w:lang w:val="ru-RU"/>
        </w:rPr>
        <w:t>80 874,20</w:t>
      </w:r>
      <w:r w:rsidR="00637FF2">
        <w:t xml:space="preserve"> руб. </w:t>
      </w:r>
      <w:r w:rsidR="00637FF2">
        <w:rPr>
          <w:b/>
        </w:rPr>
        <w:t xml:space="preserve">Итого с учетом НДС </w:t>
      </w:r>
      <w:r w:rsidR="00114E60">
        <w:rPr>
          <w:b/>
          <w:lang w:val="ru-RU"/>
        </w:rPr>
        <w:t>448 484,20</w:t>
      </w:r>
      <w:r w:rsidR="00637FF2">
        <w:rPr>
          <w:b/>
        </w:rPr>
        <w:t xml:space="preserve"> руб.</w:t>
      </w:r>
    </w:p>
    <w:p w14:paraId="3D15090B" w14:textId="1CEB510D" w:rsidR="00E329E9" w:rsidRPr="00E329E9" w:rsidRDefault="00114E60" w:rsidP="00114E60">
      <w:pPr>
        <w:pStyle w:val="a9"/>
        <w:spacing w:after="0"/>
        <w:ind w:left="709"/>
        <w:jc w:val="both"/>
        <w:rPr>
          <w:lang w:val="ru-RU"/>
        </w:rPr>
      </w:pPr>
      <w:r>
        <w:rPr>
          <w:b/>
          <w:lang w:val="ru-RU"/>
        </w:rPr>
        <w:t xml:space="preserve"> </w:t>
      </w:r>
      <w:r w:rsidR="00AC13CC" w:rsidRPr="00BF4A0F">
        <w:t>Начальная (максимальная) цена продукции</w:t>
      </w:r>
      <w:r w:rsidR="00AC13CC"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7DBE3C90"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425815">
        <w:rPr>
          <w:lang w:val="ru-RU"/>
        </w:rPr>
        <w:t>без</w:t>
      </w:r>
      <w:r w:rsidRPr="004E382E">
        <w:t xml:space="preserve"> учет</w:t>
      </w:r>
      <w:r w:rsidR="00425815">
        <w:rPr>
          <w:lang w:val="ru-RU"/>
        </w:rPr>
        <w:t>а</w:t>
      </w:r>
      <w:r w:rsidRPr="004E382E">
        <w:t xml:space="preserve">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12524FCE"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CA433E">
        <w:rPr>
          <w:rFonts w:ascii="Times New Roman" w:eastAsia="Times New Roman" w:hAnsi="Times New Roman" w:cs="Times New Roman"/>
          <w:b/>
          <w:color w:val="FF0000"/>
          <w:sz w:val="24"/>
          <w:szCs w:val="24"/>
          <w:highlight w:val="yellow"/>
          <w:lang w:eastAsia="ru-RU"/>
        </w:rPr>
        <w:t>1</w:t>
      </w:r>
      <w:r w:rsidR="00737FC3">
        <w:rPr>
          <w:rFonts w:ascii="Times New Roman" w:eastAsia="Times New Roman" w:hAnsi="Times New Roman" w:cs="Times New Roman"/>
          <w:b/>
          <w:color w:val="FF0000"/>
          <w:sz w:val="24"/>
          <w:szCs w:val="24"/>
          <w:highlight w:val="yellow"/>
          <w:lang w:eastAsia="ru-RU"/>
        </w:rPr>
        <w:t>3</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3A6157">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1097200A"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737FC3">
        <w:rPr>
          <w:rFonts w:ascii="Times New Roman" w:eastAsia="Times New Roman" w:hAnsi="Times New Roman" w:cs="Times New Roman"/>
          <w:b/>
          <w:color w:val="FF0000"/>
          <w:sz w:val="24"/>
          <w:szCs w:val="24"/>
          <w:highlight w:val="yellow"/>
          <w:lang w:eastAsia="ru-RU"/>
        </w:rPr>
        <w:t>16</w:t>
      </w:r>
      <w:r w:rsidR="00A97D88" w:rsidRPr="00C47126">
        <w:rPr>
          <w:rFonts w:ascii="Times New Roman" w:eastAsia="Times New Roman" w:hAnsi="Times New Roman" w:cs="Times New Roman"/>
          <w:b/>
          <w:color w:val="FF0000"/>
          <w:sz w:val="24"/>
          <w:szCs w:val="24"/>
          <w:highlight w:val="yellow"/>
          <w:lang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AC1EB9">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5A2DE867"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737FC3">
        <w:rPr>
          <w:rFonts w:ascii="Times New Roman" w:eastAsia="Times New Roman" w:hAnsi="Times New Roman" w:cs="Times New Roman"/>
          <w:b/>
          <w:color w:val="FF0000"/>
          <w:sz w:val="24"/>
          <w:szCs w:val="24"/>
          <w:highlight w:val="yellow"/>
          <w:lang w:eastAsia="ru-RU"/>
        </w:rPr>
        <w:t>27</w:t>
      </w:r>
      <w:r w:rsidRPr="00C47126">
        <w:rPr>
          <w:rFonts w:ascii="Times New Roman" w:eastAsia="Times New Roman" w:hAnsi="Times New Roman" w:cs="Times New Roman"/>
          <w:b/>
          <w:color w:val="FF0000"/>
          <w:sz w:val="24"/>
          <w:szCs w:val="24"/>
          <w:highlight w:val="yellow"/>
          <w:lang w:val="x-none"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931760">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7EC89D03" w:rsidR="00564D79" w:rsidRPr="00D17A98" w:rsidRDefault="007C4AF4" w:rsidP="00114E60">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114E60" w:rsidRPr="00114E60">
        <w:t>Серёгина Ирина Михайловна</w:t>
      </w:r>
      <w:r w:rsidR="00114E60">
        <w:rPr>
          <w:lang w:eastAsia="x-none"/>
        </w:rPr>
        <w:t>,</w:t>
      </w:r>
      <w:r w:rsidR="003A6157" w:rsidRPr="00FB2D0B">
        <w:rPr>
          <w:lang w:eastAsia="x-none"/>
        </w:rPr>
        <w:t xml:space="preserve"> адрес электронной почты: </w:t>
      </w:r>
      <w:r w:rsidR="00114E60" w:rsidRPr="00114E60">
        <w:rPr>
          <w:color w:val="00B0F0"/>
        </w:rPr>
        <w:t>Seregina.IM@tl.mrsk-cp.ru</w:t>
      </w:r>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 xml:space="preserve">В соответствии с пунктом 1 части 8 статьи 3 Федерального закона «О закупках </w:t>
      </w:r>
      <w:bookmarkStart w:id="13" w:name="_GoBack"/>
      <w:r w:rsidRPr="00CC6B17">
        <w:t xml:space="preserve">товаров, работ, услуг отдельными видами юридических лиц» во исполнение Постановления </w:t>
      </w:r>
      <w:bookmarkEnd w:id="13"/>
      <w:r w:rsidRPr="00CC6B17">
        <w:t>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48C9FDF9" w:rsidR="00FF5DD8"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p w14:paraId="08211027" w14:textId="2328E356" w:rsidR="00695D8E" w:rsidRPr="00CE4134" w:rsidRDefault="00695D8E" w:rsidP="00695D8E">
      <w:pPr>
        <w:numPr>
          <w:ilvl w:val="0"/>
          <w:numId w:val="22"/>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Приложение №4 - </w:t>
      </w:r>
      <w:r w:rsidRPr="00695D8E">
        <w:rPr>
          <w:rFonts w:ascii="Times New Roman" w:eastAsia="Times New Roman" w:hAnsi="Times New Roman" w:cs="Times New Roman"/>
          <w:snapToGrid w:val="0"/>
          <w:sz w:val="24"/>
          <w:szCs w:val="24"/>
          <w:lang w:eastAsia="ru-RU"/>
        </w:rPr>
        <w:t>Справка об информации и документах, подтверждающих страну происхождения товара для предоставления национального режима при осуществлении закупки</w:t>
      </w:r>
      <w:r>
        <w:rPr>
          <w:rFonts w:ascii="Times New Roman" w:eastAsia="Times New Roman" w:hAnsi="Times New Roman" w:cs="Times New Roman"/>
          <w:snapToGrid w:val="0"/>
          <w:sz w:val="24"/>
          <w:szCs w:val="24"/>
          <w:lang w:eastAsia="ru-RU"/>
        </w:rPr>
        <w:t>.</w:t>
      </w:r>
    </w:p>
    <w:sectPr w:rsidR="00695D8E"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28E3"/>
    <w:rsid w:val="00095980"/>
    <w:rsid w:val="000A2803"/>
    <w:rsid w:val="000B6FC5"/>
    <w:rsid w:val="000C1AB0"/>
    <w:rsid w:val="000C3520"/>
    <w:rsid w:val="000D50C6"/>
    <w:rsid w:val="000F2EF9"/>
    <w:rsid w:val="000F5A47"/>
    <w:rsid w:val="00106232"/>
    <w:rsid w:val="0011077B"/>
    <w:rsid w:val="00111ECF"/>
    <w:rsid w:val="00114E60"/>
    <w:rsid w:val="00115151"/>
    <w:rsid w:val="00126131"/>
    <w:rsid w:val="001303CB"/>
    <w:rsid w:val="001369E1"/>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D4901"/>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6157"/>
    <w:rsid w:val="003A71C0"/>
    <w:rsid w:val="003B1EB6"/>
    <w:rsid w:val="003C0672"/>
    <w:rsid w:val="003C26E3"/>
    <w:rsid w:val="003C53DD"/>
    <w:rsid w:val="003D52AB"/>
    <w:rsid w:val="003E5354"/>
    <w:rsid w:val="003F297A"/>
    <w:rsid w:val="003F33EA"/>
    <w:rsid w:val="00403EB6"/>
    <w:rsid w:val="0040655B"/>
    <w:rsid w:val="00421A54"/>
    <w:rsid w:val="00422016"/>
    <w:rsid w:val="00424D1C"/>
    <w:rsid w:val="004253A8"/>
    <w:rsid w:val="00425815"/>
    <w:rsid w:val="00425F89"/>
    <w:rsid w:val="00432ECA"/>
    <w:rsid w:val="00434660"/>
    <w:rsid w:val="00440307"/>
    <w:rsid w:val="00466393"/>
    <w:rsid w:val="00470E31"/>
    <w:rsid w:val="0047751E"/>
    <w:rsid w:val="00481BA5"/>
    <w:rsid w:val="00484080"/>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014B"/>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1716"/>
    <w:rsid w:val="00654B2B"/>
    <w:rsid w:val="0066353E"/>
    <w:rsid w:val="0067079E"/>
    <w:rsid w:val="00693D29"/>
    <w:rsid w:val="00695D8E"/>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37FC3"/>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1760"/>
    <w:rsid w:val="00937213"/>
    <w:rsid w:val="009426AD"/>
    <w:rsid w:val="00954119"/>
    <w:rsid w:val="009568B2"/>
    <w:rsid w:val="00961A4F"/>
    <w:rsid w:val="009665D7"/>
    <w:rsid w:val="009715B1"/>
    <w:rsid w:val="00974636"/>
    <w:rsid w:val="00982E08"/>
    <w:rsid w:val="0099358E"/>
    <w:rsid w:val="00997C6C"/>
    <w:rsid w:val="009A04DF"/>
    <w:rsid w:val="009A7797"/>
    <w:rsid w:val="009C0332"/>
    <w:rsid w:val="009C3BD6"/>
    <w:rsid w:val="009D1C4B"/>
    <w:rsid w:val="009F1249"/>
    <w:rsid w:val="009F24D3"/>
    <w:rsid w:val="00A112E1"/>
    <w:rsid w:val="00A26650"/>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A433E"/>
    <w:rsid w:val="00CB4F7F"/>
    <w:rsid w:val="00CC7E51"/>
    <w:rsid w:val="00CE4134"/>
    <w:rsid w:val="00CE7301"/>
    <w:rsid w:val="00CF1E2B"/>
    <w:rsid w:val="00CF2BAC"/>
    <w:rsid w:val="00CF4866"/>
    <w:rsid w:val="00D11D76"/>
    <w:rsid w:val="00D11E9A"/>
    <w:rsid w:val="00D13C33"/>
    <w:rsid w:val="00D17A98"/>
    <w:rsid w:val="00D45803"/>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266E2"/>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29249114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B8C9D-9A5B-4B61-B382-D7ECD693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3003</Words>
  <Characters>17120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66</cp:revision>
  <cp:lastPrinted>2024-03-21T06:22:00Z</cp:lastPrinted>
  <dcterms:created xsi:type="dcterms:W3CDTF">2024-10-22T07:52:00Z</dcterms:created>
  <dcterms:modified xsi:type="dcterms:W3CDTF">2026-07-09T13:22:00Z</dcterms:modified>
</cp:coreProperties>
</file>