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00F0A82E" w14:textId="77777777" w:rsidR="00C14FF3" w:rsidRPr="00C14FF3" w:rsidRDefault="00C14FF3" w:rsidP="00C14FF3">
      <w:pPr>
        <w:keepNext/>
        <w:keepLines/>
        <w:ind w:firstLine="0"/>
        <w:rPr>
          <w:rFonts w:eastAsia="Arial Unicode MS"/>
          <w:b/>
          <w:sz w:val="28"/>
          <w:szCs w:val="28"/>
          <w:lang w:val="ru" w:eastAsia="en-US"/>
        </w:rPr>
      </w:pPr>
      <w:r w:rsidRPr="00C14FF3">
        <w:rPr>
          <w:rFonts w:eastAsia="Arial Unicode MS"/>
          <w:b/>
          <w:sz w:val="28"/>
          <w:szCs w:val="28"/>
          <w:lang w:val="ru" w:eastAsia="en-US"/>
        </w:rPr>
        <w:t>Наименование закупки:</w:t>
      </w:r>
    </w:p>
    <w:p w14:paraId="2B7095FF" w14:textId="77777777" w:rsidR="00C14FF3" w:rsidRPr="00C14FF3" w:rsidRDefault="00C14FF3" w:rsidP="00C14FF3">
      <w:pPr>
        <w:keepNext/>
        <w:keepLines/>
        <w:ind w:firstLine="709"/>
        <w:outlineLvl w:val="1"/>
        <w:rPr>
          <w:rFonts w:eastAsia="Arial Unicode MS"/>
          <w:sz w:val="28"/>
          <w:szCs w:val="28"/>
          <w:lang w:eastAsia="en-US"/>
        </w:rPr>
      </w:pPr>
      <w:r w:rsidRPr="00C14FF3">
        <w:rPr>
          <w:rFonts w:eastAsia="Arial Unicode MS"/>
          <w:color w:val="000000"/>
          <w:sz w:val="28"/>
          <w:szCs w:val="28"/>
        </w:rPr>
        <w:t>Ценовой отбор</w:t>
      </w:r>
      <w:r w:rsidRPr="00C14FF3">
        <w:rPr>
          <w:rFonts w:eastAsia="Arial Unicode MS"/>
          <w:color w:val="000000"/>
          <w:sz w:val="28"/>
          <w:szCs w:val="28"/>
          <w:lang w:val="ru"/>
        </w:rPr>
        <w:t xml:space="preserve"> </w:t>
      </w:r>
      <w:r w:rsidRPr="00C14FF3">
        <w:rPr>
          <w:rFonts w:eastAsia="Arial Unicode MS"/>
          <w:color w:val="000000"/>
          <w:sz w:val="28"/>
          <w:szCs w:val="28"/>
        </w:rPr>
        <w:t xml:space="preserve">(301) </w:t>
      </w:r>
      <w:r w:rsidRPr="00C14FF3">
        <w:rPr>
          <w:rFonts w:eastAsia="Arial Unicode MS"/>
          <w:color w:val="000000"/>
          <w:sz w:val="28"/>
          <w:szCs w:val="28"/>
          <w:lang w:val="ru"/>
        </w:rPr>
        <w:t xml:space="preserve">на право заключения договора </w:t>
      </w:r>
      <w:r w:rsidRPr="00C14FF3">
        <w:rPr>
          <w:rFonts w:eastAsia="Arial Unicode MS"/>
          <w:color w:val="000000"/>
          <w:sz w:val="28"/>
          <w:szCs w:val="28"/>
        </w:rPr>
        <w:t>на оказание услуг по физической охране объектов УФПС Пензенской области "АО Почта России"</w:t>
      </w:r>
    </w:p>
    <w:p w14:paraId="193734B4" w14:textId="77777777" w:rsidR="00C14FF3" w:rsidRPr="00C14FF3" w:rsidRDefault="00C14FF3" w:rsidP="00C14FF3">
      <w:pPr>
        <w:keepNext/>
        <w:keepLines/>
        <w:ind w:firstLine="0"/>
        <w:outlineLvl w:val="1"/>
        <w:rPr>
          <w:rFonts w:eastAsia="Arial Unicode MS"/>
          <w:b/>
          <w:sz w:val="28"/>
          <w:szCs w:val="28"/>
          <w:lang w:val="ru" w:eastAsia="en-US"/>
        </w:rPr>
      </w:pPr>
      <w:r w:rsidRPr="00C14FF3">
        <w:rPr>
          <w:rFonts w:eastAsia="Arial Unicode MS"/>
          <w:b/>
          <w:sz w:val="28"/>
          <w:szCs w:val="28"/>
          <w:lang w:val="ru" w:eastAsia="en-US"/>
        </w:rPr>
        <w:t>Начальная (максимальная) цена договора составляет:</w:t>
      </w:r>
    </w:p>
    <w:p w14:paraId="75ED8CEE" w14:textId="77777777" w:rsidR="00C14FF3" w:rsidRPr="00C14FF3" w:rsidRDefault="00C14FF3" w:rsidP="00C14FF3">
      <w:pPr>
        <w:autoSpaceDE w:val="0"/>
        <w:autoSpaceDN w:val="0"/>
        <w:ind w:firstLine="709"/>
        <w:rPr>
          <w:rFonts w:eastAsia="Calibri"/>
          <w:bCs/>
          <w:sz w:val="28"/>
          <w:szCs w:val="28"/>
          <w:lang w:eastAsia="en-US"/>
        </w:rPr>
      </w:pPr>
      <w:r w:rsidRPr="00C14FF3">
        <w:rPr>
          <w:rFonts w:eastAsia="Calibri"/>
          <w:bCs/>
          <w:sz w:val="28"/>
          <w:szCs w:val="28"/>
          <w:lang w:eastAsia="en-US"/>
        </w:rPr>
        <w:t xml:space="preserve">6 570 000 </w:t>
      </w:r>
      <w:r w:rsidRPr="00C14FF3">
        <w:rPr>
          <w:rFonts w:eastAsia="Calibri"/>
          <w:bCs/>
          <w:sz w:val="28"/>
          <w:szCs w:val="28"/>
          <w:lang w:val="ru" w:eastAsia="en-US"/>
        </w:rPr>
        <w:t>(</w:t>
      </w:r>
      <w:r w:rsidRPr="00C14FF3">
        <w:rPr>
          <w:rFonts w:eastAsia="Calibri"/>
          <w:bCs/>
          <w:sz w:val="28"/>
          <w:szCs w:val="28"/>
          <w:lang w:eastAsia="en-US"/>
        </w:rPr>
        <w:t>Шесть миллионов пятьсот семьдесят тысяч рублей</w:t>
      </w:r>
      <w:r w:rsidRPr="00C14FF3">
        <w:rPr>
          <w:rFonts w:eastAsia="Calibri"/>
          <w:bCs/>
          <w:sz w:val="28"/>
          <w:szCs w:val="28"/>
          <w:lang w:val="ru" w:eastAsia="en-US"/>
        </w:rPr>
        <w:t>) 0</w:t>
      </w:r>
      <w:r w:rsidRPr="00C14FF3">
        <w:rPr>
          <w:rFonts w:eastAsia="Calibri"/>
          <w:bCs/>
          <w:sz w:val="28"/>
          <w:szCs w:val="28"/>
          <w:lang w:eastAsia="en-US"/>
        </w:rPr>
        <w:t>0</w:t>
      </w:r>
      <w:r w:rsidRPr="00C14FF3">
        <w:rPr>
          <w:rFonts w:eastAsia="Calibri"/>
          <w:bCs/>
          <w:sz w:val="28"/>
          <w:szCs w:val="28"/>
          <w:lang w:val="ru" w:eastAsia="en-US"/>
        </w:rPr>
        <w:t xml:space="preserve"> копеек, </w:t>
      </w:r>
      <w:r w:rsidRPr="00C14FF3">
        <w:rPr>
          <w:rFonts w:eastAsia="Calibri"/>
          <w:bCs/>
          <w:sz w:val="28"/>
          <w:szCs w:val="28"/>
          <w:lang w:eastAsia="en-US"/>
        </w:rPr>
        <w:t>включая НДС в размере ставки, определённой в главе 21 Налогового кодекса Российской Федерации.</w:t>
      </w:r>
    </w:p>
    <w:p w14:paraId="35447D1C" w14:textId="77777777" w:rsidR="00C14FF3" w:rsidRPr="00C14FF3" w:rsidRDefault="00C14FF3" w:rsidP="00C14FF3">
      <w:pPr>
        <w:autoSpaceDE w:val="0"/>
        <w:autoSpaceDN w:val="0"/>
        <w:ind w:firstLine="709"/>
        <w:rPr>
          <w:rFonts w:eastAsia="Calibri"/>
          <w:bCs/>
          <w:sz w:val="28"/>
          <w:szCs w:val="28"/>
          <w:lang w:val="ru" w:eastAsia="en-US"/>
        </w:rPr>
      </w:pPr>
      <w:r w:rsidRPr="00C14FF3">
        <w:rPr>
          <w:rFonts w:eastAsia="Calibri"/>
          <w:bCs/>
          <w:sz w:val="28"/>
          <w:szCs w:val="28"/>
          <w:lang w:val="ru" w:eastAsia="en-US"/>
        </w:rPr>
        <w:t>Начальная (максимальная) цена договора включает в себя расходы на перевозку</w:t>
      </w:r>
      <w:r w:rsidRPr="00C14FF3">
        <w:rPr>
          <w:rFonts w:eastAsia="Calibri"/>
          <w:bCs/>
          <w:sz w:val="28"/>
          <w:szCs w:val="28"/>
          <w:lang w:eastAsia="en-US"/>
        </w:rPr>
        <w:t xml:space="preserve"> </w:t>
      </w:r>
      <w:r w:rsidRPr="00C14FF3">
        <w:rPr>
          <w:rFonts w:eastAsia="Calibri"/>
          <w:bCs/>
          <w:sz w:val="28"/>
          <w:szCs w:val="28"/>
          <w:lang w:val="ru" w:eastAsia="en-US"/>
        </w:rPr>
        <w:t xml:space="preserve">, доставку, </w:t>
      </w:r>
      <w:r w:rsidRPr="00C14FF3">
        <w:rPr>
          <w:rFonts w:eastAsia="Calibri"/>
          <w:bCs/>
          <w:sz w:val="28"/>
          <w:szCs w:val="28"/>
          <w:lang w:eastAsia="en-US"/>
        </w:rPr>
        <w:t>монтаж технических средств</w:t>
      </w:r>
      <w:r w:rsidRPr="00C14FF3">
        <w:rPr>
          <w:rFonts w:eastAsia="Calibri"/>
          <w:bCs/>
          <w:sz w:val="28"/>
          <w:szCs w:val="28"/>
          <w:lang w:val="ru" w:eastAsia="en-US"/>
        </w:rPr>
        <w:t xml:space="preserve">, страхование, уплату таможенных пошлин, налогов и других обязательных платежей, и расходов, которые </w:t>
      </w:r>
      <w:r w:rsidRPr="00C14FF3">
        <w:rPr>
          <w:rFonts w:eastAsia="Calibri"/>
          <w:bCs/>
          <w:sz w:val="28"/>
          <w:szCs w:val="28"/>
          <w:lang w:eastAsia="en-US"/>
        </w:rPr>
        <w:t>Подрядчик</w:t>
      </w:r>
      <w:r w:rsidRPr="00C14FF3">
        <w:rPr>
          <w:rFonts w:eastAsia="Calibri"/>
          <w:bCs/>
          <w:sz w:val="28"/>
          <w:szCs w:val="28"/>
          <w:lang w:val="ru" w:eastAsia="en-US"/>
        </w:rPr>
        <w:t xml:space="preserve"> понесет в связи с выполнением обязательств по договору.</w:t>
      </w:r>
    </w:p>
    <w:p w14:paraId="1F8079F5" w14:textId="77777777" w:rsidR="00C14FF3" w:rsidRPr="00C14FF3" w:rsidRDefault="00C14FF3" w:rsidP="00C14FF3">
      <w:pPr>
        <w:autoSpaceDE w:val="0"/>
        <w:autoSpaceDN w:val="0"/>
        <w:ind w:firstLine="709"/>
        <w:rPr>
          <w:rFonts w:eastAsia="Calibri"/>
          <w:bCs/>
          <w:sz w:val="28"/>
          <w:szCs w:val="28"/>
          <w:lang w:eastAsia="en-US"/>
        </w:rPr>
      </w:pPr>
    </w:p>
    <w:p w14:paraId="1ED37D3B" w14:textId="77777777" w:rsidR="00C14FF3" w:rsidRPr="00C14FF3" w:rsidRDefault="00C14FF3" w:rsidP="00C14FF3">
      <w:pPr>
        <w:keepNext/>
        <w:keepLines/>
        <w:ind w:left="20" w:right="20" w:firstLine="0"/>
        <w:outlineLvl w:val="1"/>
        <w:rPr>
          <w:rFonts w:eastAsia="Arial Unicode MS"/>
          <w:b/>
          <w:sz w:val="28"/>
          <w:szCs w:val="28"/>
          <w:lang w:eastAsia="en-US"/>
        </w:rPr>
      </w:pPr>
      <w:r w:rsidRPr="00C14FF3">
        <w:rPr>
          <w:rFonts w:eastAsia="Arial Unicode MS"/>
          <w:b/>
          <w:sz w:val="28"/>
          <w:szCs w:val="28"/>
          <w:lang w:eastAsia="en-US"/>
        </w:rPr>
        <w:t>Используемый метод определения НМЦ:</w:t>
      </w:r>
    </w:p>
    <w:p w14:paraId="3277F004" w14:textId="77777777" w:rsidR="00C14FF3" w:rsidRPr="00C14FF3" w:rsidRDefault="00C14FF3" w:rsidP="00C14FF3">
      <w:pPr>
        <w:keepNext/>
        <w:keepLines/>
        <w:ind w:firstLine="709"/>
        <w:outlineLvl w:val="1"/>
        <w:rPr>
          <w:rFonts w:eastAsia="Arial Unicode MS"/>
          <w:sz w:val="28"/>
          <w:szCs w:val="28"/>
          <w:lang w:eastAsia="en-US"/>
        </w:rPr>
      </w:pPr>
      <w:r w:rsidRPr="00C14FF3">
        <w:rPr>
          <w:rFonts w:eastAsia="Arial Unicode MS"/>
          <w:sz w:val="28"/>
          <w:szCs w:val="28"/>
          <w:lang w:eastAsia="en-US"/>
        </w:rPr>
        <w:t xml:space="preserve">При выполнении расчета НМЦ выбран </w:t>
      </w:r>
      <w:r w:rsidRPr="00C14FF3">
        <w:rPr>
          <w:rFonts w:eastAsia="Arial Unicode MS"/>
          <w:b/>
          <w:sz w:val="28"/>
          <w:szCs w:val="28"/>
          <w:lang w:eastAsia="en-US"/>
        </w:rPr>
        <w:t>метод сопоставимых рыночных цен (анализ рынка)</w:t>
      </w:r>
      <w:r w:rsidRPr="00C14FF3">
        <w:rPr>
          <w:rFonts w:eastAsia="Arial Unicode MS"/>
          <w:sz w:val="28"/>
          <w:szCs w:val="28"/>
          <w:lang w:eastAsia="en-US"/>
        </w:rPr>
        <w:t>, т.к. является приоритетным методом для обоснования НМЦ.</w:t>
      </w:r>
    </w:p>
    <w:p w14:paraId="3E3F8A0B" w14:textId="77777777" w:rsidR="00C14FF3" w:rsidRPr="00C14FF3" w:rsidRDefault="00C14FF3" w:rsidP="00C14FF3">
      <w:pPr>
        <w:keepNext/>
        <w:keepLines/>
        <w:ind w:left="20" w:right="20" w:firstLine="0"/>
        <w:outlineLvl w:val="1"/>
        <w:rPr>
          <w:rFonts w:eastAsia="Arial Unicode MS"/>
          <w:sz w:val="28"/>
          <w:szCs w:val="28"/>
          <w:lang w:eastAsia="en-US"/>
        </w:rPr>
      </w:pPr>
    </w:p>
    <w:p w14:paraId="269F9181" w14:textId="77777777" w:rsidR="00C14FF3" w:rsidRPr="00C14FF3" w:rsidRDefault="00C14FF3" w:rsidP="00C14FF3">
      <w:pPr>
        <w:keepNext/>
        <w:keepLines/>
        <w:ind w:left="20" w:right="20" w:firstLine="0"/>
        <w:outlineLvl w:val="1"/>
        <w:rPr>
          <w:rFonts w:eastAsia="Arial Unicode MS"/>
          <w:b/>
          <w:sz w:val="28"/>
          <w:szCs w:val="28"/>
          <w:lang w:eastAsia="en-US"/>
        </w:rPr>
      </w:pPr>
      <w:r w:rsidRPr="00C14FF3">
        <w:rPr>
          <w:rFonts w:eastAsia="Arial Unicode MS"/>
          <w:b/>
          <w:sz w:val="28"/>
          <w:szCs w:val="28"/>
          <w:lang w:eastAsia="en-US"/>
        </w:rPr>
        <w:t>Расчет НМЦ:</w:t>
      </w:r>
    </w:p>
    <w:p w14:paraId="529DBC9B" w14:textId="77777777" w:rsidR="00C14FF3" w:rsidRPr="00C14FF3" w:rsidRDefault="00C14FF3" w:rsidP="00C14FF3">
      <w:pPr>
        <w:keepNext/>
        <w:keepLines/>
        <w:ind w:firstLine="709"/>
        <w:outlineLvl w:val="1"/>
        <w:rPr>
          <w:rFonts w:eastAsia="Arial Unicode MS"/>
          <w:sz w:val="28"/>
          <w:szCs w:val="28"/>
          <w:lang w:eastAsia="en-US"/>
        </w:rPr>
      </w:pPr>
      <w:r w:rsidRPr="00C14FF3">
        <w:rPr>
          <w:rFonts w:eastAsia="Arial Unicode MS"/>
          <w:sz w:val="28"/>
          <w:szCs w:val="28"/>
          <w:lang w:eastAsia="en-US"/>
        </w:rPr>
        <w:t>Расчет производился на основании 3 коммерческих предложений, полученных в результате направления адресных запросов</w:t>
      </w:r>
      <w:r w:rsidRPr="00C14FF3">
        <w:rPr>
          <w:rFonts w:ascii="Arial Unicode MS" w:eastAsia="Arial Unicode MS" w:hAnsi="Arial Unicode MS" w:cs="Arial Unicode MS"/>
          <w:color w:val="000000"/>
          <w:lang w:val="ru"/>
        </w:rPr>
        <w:t xml:space="preserve"> </w:t>
      </w:r>
      <w:r w:rsidRPr="00C14FF3">
        <w:rPr>
          <w:rFonts w:eastAsia="Arial Unicode MS"/>
          <w:sz w:val="28"/>
          <w:szCs w:val="28"/>
          <w:lang w:eastAsia="en-US"/>
        </w:rPr>
        <w:t xml:space="preserve">ценовой информации по электронной почте. </w:t>
      </w:r>
    </w:p>
    <w:p w14:paraId="08596FBD" w14:textId="77777777" w:rsidR="00C14FF3" w:rsidRPr="00C14FF3" w:rsidRDefault="00C14FF3" w:rsidP="00C14FF3">
      <w:pPr>
        <w:keepNext/>
        <w:keepLines/>
        <w:ind w:left="20" w:right="20" w:firstLine="0"/>
        <w:outlineLvl w:val="1"/>
        <w:rPr>
          <w:rFonts w:eastAsia="Arial Unicode MS"/>
          <w:sz w:val="28"/>
          <w:szCs w:val="28"/>
          <w:lang w:eastAsia="en-US"/>
        </w:rPr>
      </w:pPr>
    </w:p>
    <w:p w14:paraId="6A204893" w14:textId="77777777" w:rsidR="00C14FF3" w:rsidRPr="00C14FF3" w:rsidRDefault="00C14FF3" w:rsidP="00C14FF3">
      <w:pPr>
        <w:keepNext/>
        <w:keepLines/>
        <w:ind w:left="20" w:right="20" w:firstLine="0"/>
        <w:outlineLvl w:val="1"/>
        <w:rPr>
          <w:rFonts w:eastAsia="Arial Unicode MS"/>
          <w:sz w:val="28"/>
          <w:szCs w:val="28"/>
          <w:lang w:eastAsia="en-US"/>
        </w:rPr>
      </w:pPr>
      <w:r w:rsidRPr="00C14FF3">
        <w:rPr>
          <w:rFonts w:eastAsia="Arial Unicode MS"/>
          <w:sz w:val="28"/>
          <w:szCs w:val="28"/>
          <w:lang w:eastAsia="en-US"/>
        </w:rPr>
        <w:t xml:space="preserve">Приложение: </w:t>
      </w:r>
    </w:p>
    <w:p w14:paraId="738D21F7" w14:textId="77777777" w:rsidR="00C14FF3" w:rsidRPr="00C14FF3" w:rsidRDefault="00C14FF3" w:rsidP="00C14FF3">
      <w:pPr>
        <w:keepNext/>
        <w:keepLines/>
        <w:ind w:firstLine="709"/>
        <w:contextualSpacing/>
        <w:outlineLvl w:val="1"/>
        <w:rPr>
          <w:rFonts w:eastAsia="Arial Unicode MS"/>
          <w:color w:val="000000"/>
          <w:sz w:val="28"/>
          <w:szCs w:val="28"/>
          <w:lang w:val="ru"/>
        </w:rPr>
      </w:pPr>
      <w:r w:rsidRPr="00C14FF3">
        <w:rPr>
          <w:rFonts w:eastAsia="Arial Unicode MS"/>
          <w:sz w:val="28"/>
          <w:szCs w:val="28"/>
          <w:lang w:eastAsia="en-US"/>
        </w:rPr>
        <w:t xml:space="preserve">Таблица расчета </w:t>
      </w:r>
      <w:r w:rsidRPr="00C14FF3">
        <w:rPr>
          <w:rFonts w:eastAsia="Arial Unicode MS"/>
          <w:sz w:val="28"/>
          <w:szCs w:val="28"/>
          <w:lang w:val="ru" w:eastAsia="en-US"/>
        </w:rPr>
        <w:t>начальной (максимальной) цены</w:t>
      </w:r>
      <w:r w:rsidRPr="00C14FF3">
        <w:rPr>
          <w:rFonts w:eastAsia="Arial Unicode MS"/>
          <w:sz w:val="28"/>
          <w:szCs w:val="28"/>
          <w:lang w:eastAsia="en-US"/>
        </w:rPr>
        <w:t xml:space="preserve"> договора </w:t>
      </w:r>
      <w:r w:rsidRPr="00C14FF3">
        <w:rPr>
          <w:rFonts w:eastAsia="Arial Unicode MS"/>
          <w:color w:val="000000"/>
          <w:sz w:val="28"/>
          <w:szCs w:val="28"/>
        </w:rPr>
        <w:t>на оказание услуг по физической охране объектов УФПС Пензенской области АО "Почта России" - в 1 экз. на 1 листе.</w:t>
      </w:r>
    </w:p>
    <w:p w14:paraId="43C6A84E" w14:textId="77777777" w:rsidR="00390AD6" w:rsidRPr="00C14FF3" w:rsidRDefault="00390AD6" w:rsidP="00996AF9">
      <w:pPr>
        <w:rPr>
          <w:b/>
          <w:sz w:val="28"/>
          <w:szCs w:val="28"/>
          <w:lang w:val="ru"/>
        </w:rPr>
        <w:sectPr w:rsidR="00390AD6" w:rsidRPr="00C14FF3" w:rsidSect="00390AD6">
          <w:headerReference w:type="first" r:id="rId8"/>
          <w:pgSz w:w="11906" w:h="16838"/>
          <w:pgMar w:top="851" w:right="993" w:bottom="1134" w:left="1560" w:header="709" w:footer="709" w:gutter="0"/>
          <w:cols w:space="708"/>
          <w:docGrid w:linePitch="360"/>
        </w:sectPr>
      </w:pPr>
    </w:p>
    <w:p w14:paraId="1FA954E3" w14:textId="3DA1D31F" w:rsidR="0009233C" w:rsidRPr="00A1534C" w:rsidRDefault="00ED6C19" w:rsidP="00ED6C19">
      <w:pPr>
        <w:jc w:val="right"/>
      </w:pPr>
      <w:r w:rsidRPr="00A1534C">
        <w:lastRenderedPageBreak/>
        <w:t xml:space="preserve">Приложение № 1 к части </w:t>
      </w:r>
      <w:r w:rsidRPr="00A1534C">
        <w:rPr>
          <w:lang w:val="en-US"/>
        </w:rPr>
        <w:t>V</w:t>
      </w:r>
    </w:p>
    <w:bookmarkEnd w:id="0"/>
    <w:p w14:paraId="04326D58" w14:textId="387B1947" w:rsidR="00ED6C19" w:rsidRDefault="00ED6C19" w:rsidP="00ED6C19">
      <w:pPr>
        <w:jc w:val="right"/>
        <w:rPr>
          <w:sz w:val="20"/>
          <w:szCs w:val="20"/>
        </w:rPr>
      </w:pPr>
    </w:p>
    <w:tbl>
      <w:tblPr>
        <w:tblW w:w="5251" w:type="pct"/>
        <w:tblLayout w:type="fixed"/>
        <w:tblLook w:val="04A0" w:firstRow="1" w:lastRow="0" w:firstColumn="1" w:lastColumn="0" w:noHBand="0" w:noVBand="1"/>
      </w:tblPr>
      <w:tblGrid>
        <w:gridCol w:w="838"/>
        <w:gridCol w:w="2780"/>
        <w:gridCol w:w="1023"/>
        <w:gridCol w:w="1111"/>
        <w:gridCol w:w="908"/>
        <w:gridCol w:w="1279"/>
        <w:gridCol w:w="1273"/>
        <w:gridCol w:w="1420"/>
        <w:gridCol w:w="1245"/>
        <w:gridCol w:w="1126"/>
        <w:gridCol w:w="1167"/>
        <w:gridCol w:w="1395"/>
        <w:gridCol w:w="34"/>
      </w:tblGrid>
      <w:tr w:rsidR="00252675" w:rsidRPr="00252675" w14:paraId="28989951" w14:textId="77777777" w:rsidTr="00187DCF">
        <w:trPr>
          <w:trHeight w:val="642"/>
        </w:trPr>
        <w:tc>
          <w:tcPr>
            <w:tcW w:w="5000" w:type="pct"/>
            <w:gridSpan w:val="13"/>
            <w:tcBorders>
              <w:top w:val="nil"/>
              <w:left w:val="nil"/>
              <w:bottom w:val="nil"/>
              <w:right w:val="nil"/>
            </w:tcBorders>
            <w:shd w:val="clear" w:color="auto" w:fill="auto"/>
            <w:vAlign w:val="center"/>
            <w:hideMark/>
          </w:tcPr>
          <w:p w14:paraId="311909C5" w14:textId="77777777" w:rsidR="00252675" w:rsidRPr="00252675" w:rsidRDefault="00252675" w:rsidP="00252675">
            <w:pPr>
              <w:ind w:firstLine="0"/>
              <w:jc w:val="center"/>
              <w:rPr>
                <w:b/>
                <w:bCs/>
                <w:color w:val="000000"/>
              </w:rPr>
            </w:pPr>
            <w:r w:rsidRPr="00252675">
              <w:rPr>
                <w:b/>
                <w:bCs/>
                <w:color w:val="000000"/>
              </w:rPr>
              <w:t>Расчет начальной (максимальной) цены договора методом сопоставимых рыночных цен (анализа рынка)</w:t>
            </w:r>
            <w:r w:rsidRPr="00252675">
              <w:rPr>
                <w:b/>
                <w:bCs/>
                <w:color w:val="000000"/>
              </w:rPr>
              <w:br/>
              <w:t>Оказание услуг по физической охране объектов  УФПС Пензенской области "АО Почта России"</w:t>
            </w:r>
          </w:p>
        </w:tc>
      </w:tr>
      <w:tr w:rsidR="00187DCF" w:rsidRPr="00252675" w14:paraId="2F953DDB" w14:textId="77777777" w:rsidTr="00187DCF">
        <w:trPr>
          <w:gridAfter w:val="1"/>
          <w:wAfter w:w="11" w:type="pct"/>
          <w:trHeight w:val="300"/>
        </w:trPr>
        <w:tc>
          <w:tcPr>
            <w:tcW w:w="269" w:type="pct"/>
            <w:tcBorders>
              <w:top w:val="nil"/>
              <w:left w:val="nil"/>
              <w:bottom w:val="nil"/>
              <w:right w:val="nil"/>
            </w:tcBorders>
            <w:shd w:val="clear" w:color="auto" w:fill="auto"/>
            <w:noWrap/>
            <w:vAlign w:val="bottom"/>
            <w:hideMark/>
          </w:tcPr>
          <w:p w14:paraId="013E8E99" w14:textId="77777777" w:rsidR="00252675" w:rsidRPr="00252675" w:rsidRDefault="00252675" w:rsidP="00252675">
            <w:pPr>
              <w:ind w:firstLine="0"/>
              <w:jc w:val="center"/>
              <w:rPr>
                <w:b/>
                <w:bCs/>
                <w:color w:val="000000"/>
              </w:rPr>
            </w:pPr>
          </w:p>
        </w:tc>
        <w:tc>
          <w:tcPr>
            <w:tcW w:w="891" w:type="pct"/>
            <w:tcBorders>
              <w:top w:val="nil"/>
              <w:left w:val="nil"/>
              <w:bottom w:val="nil"/>
              <w:right w:val="nil"/>
            </w:tcBorders>
            <w:shd w:val="clear" w:color="auto" w:fill="auto"/>
            <w:noWrap/>
            <w:vAlign w:val="bottom"/>
            <w:hideMark/>
          </w:tcPr>
          <w:p w14:paraId="57F132B6" w14:textId="77777777" w:rsidR="00252675" w:rsidRPr="00252675" w:rsidRDefault="00252675" w:rsidP="00252675">
            <w:pPr>
              <w:ind w:firstLine="0"/>
              <w:jc w:val="left"/>
              <w:rPr>
                <w:sz w:val="20"/>
                <w:szCs w:val="20"/>
              </w:rPr>
            </w:pPr>
          </w:p>
        </w:tc>
        <w:tc>
          <w:tcPr>
            <w:tcW w:w="328" w:type="pct"/>
            <w:tcBorders>
              <w:top w:val="nil"/>
              <w:left w:val="nil"/>
              <w:bottom w:val="nil"/>
              <w:right w:val="nil"/>
            </w:tcBorders>
            <w:shd w:val="clear" w:color="auto" w:fill="auto"/>
            <w:noWrap/>
            <w:vAlign w:val="bottom"/>
            <w:hideMark/>
          </w:tcPr>
          <w:p w14:paraId="5B33539F" w14:textId="77777777" w:rsidR="00252675" w:rsidRPr="00252675" w:rsidRDefault="00252675" w:rsidP="00252675">
            <w:pPr>
              <w:ind w:firstLine="0"/>
              <w:jc w:val="left"/>
              <w:rPr>
                <w:sz w:val="20"/>
                <w:szCs w:val="20"/>
              </w:rPr>
            </w:pPr>
          </w:p>
        </w:tc>
        <w:tc>
          <w:tcPr>
            <w:tcW w:w="356" w:type="pct"/>
            <w:tcBorders>
              <w:top w:val="nil"/>
              <w:left w:val="nil"/>
              <w:bottom w:val="nil"/>
              <w:right w:val="nil"/>
            </w:tcBorders>
            <w:shd w:val="clear" w:color="auto" w:fill="auto"/>
            <w:noWrap/>
            <w:vAlign w:val="bottom"/>
            <w:hideMark/>
          </w:tcPr>
          <w:p w14:paraId="5B1BE875" w14:textId="77777777" w:rsidR="00252675" w:rsidRPr="00252675" w:rsidRDefault="00252675" w:rsidP="00252675">
            <w:pPr>
              <w:ind w:firstLine="0"/>
              <w:jc w:val="left"/>
              <w:rPr>
                <w:sz w:val="20"/>
                <w:szCs w:val="20"/>
              </w:rPr>
            </w:pPr>
          </w:p>
        </w:tc>
        <w:tc>
          <w:tcPr>
            <w:tcW w:w="291" w:type="pct"/>
            <w:tcBorders>
              <w:top w:val="nil"/>
              <w:left w:val="nil"/>
              <w:bottom w:val="nil"/>
              <w:right w:val="nil"/>
            </w:tcBorders>
            <w:shd w:val="clear" w:color="auto" w:fill="auto"/>
            <w:noWrap/>
            <w:vAlign w:val="bottom"/>
            <w:hideMark/>
          </w:tcPr>
          <w:p w14:paraId="58B1A758" w14:textId="77777777" w:rsidR="00252675" w:rsidRPr="00252675" w:rsidRDefault="00252675" w:rsidP="00252675">
            <w:pPr>
              <w:ind w:firstLine="0"/>
              <w:jc w:val="left"/>
              <w:rPr>
                <w:sz w:val="20"/>
                <w:szCs w:val="20"/>
              </w:rPr>
            </w:pPr>
          </w:p>
        </w:tc>
        <w:tc>
          <w:tcPr>
            <w:tcW w:w="410" w:type="pct"/>
            <w:tcBorders>
              <w:top w:val="nil"/>
              <w:left w:val="nil"/>
              <w:bottom w:val="nil"/>
              <w:right w:val="nil"/>
            </w:tcBorders>
            <w:shd w:val="clear" w:color="auto" w:fill="auto"/>
            <w:noWrap/>
            <w:vAlign w:val="bottom"/>
            <w:hideMark/>
          </w:tcPr>
          <w:p w14:paraId="326DC8D1" w14:textId="77777777" w:rsidR="00252675" w:rsidRPr="00252675" w:rsidRDefault="00252675" w:rsidP="00252675">
            <w:pPr>
              <w:ind w:firstLine="0"/>
              <w:jc w:val="left"/>
              <w:rPr>
                <w:sz w:val="20"/>
                <w:szCs w:val="20"/>
              </w:rPr>
            </w:pPr>
          </w:p>
        </w:tc>
        <w:tc>
          <w:tcPr>
            <w:tcW w:w="408" w:type="pct"/>
            <w:tcBorders>
              <w:top w:val="nil"/>
              <w:left w:val="nil"/>
              <w:bottom w:val="nil"/>
              <w:right w:val="nil"/>
            </w:tcBorders>
            <w:shd w:val="clear" w:color="auto" w:fill="auto"/>
            <w:noWrap/>
            <w:vAlign w:val="bottom"/>
            <w:hideMark/>
          </w:tcPr>
          <w:p w14:paraId="38BDB858" w14:textId="77777777" w:rsidR="00252675" w:rsidRPr="00252675" w:rsidRDefault="00252675" w:rsidP="00252675">
            <w:pPr>
              <w:ind w:firstLine="0"/>
              <w:jc w:val="left"/>
              <w:rPr>
                <w:sz w:val="20"/>
                <w:szCs w:val="20"/>
              </w:rPr>
            </w:pPr>
          </w:p>
        </w:tc>
        <w:tc>
          <w:tcPr>
            <w:tcW w:w="455" w:type="pct"/>
            <w:tcBorders>
              <w:top w:val="nil"/>
              <w:left w:val="nil"/>
              <w:bottom w:val="nil"/>
              <w:right w:val="nil"/>
            </w:tcBorders>
            <w:shd w:val="clear" w:color="auto" w:fill="auto"/>
            <w:noWrap/>
            <w:vAlign w:val="bottom"/>
            <w:hideMark/>
          </w:tcPr>
          <w:p w14:paraId="6155C735" w14:textId="77777777" w:rsidR="00252675" w:rsidRPr="00252675" w:rsidRDefault="00252675" w:rsidP="00252675">
            <w:pPr>
              <w:ind w:firstLine="0"/>
              <w:jc w:val="left"/>
              <w:rPr>
                <w:sz w:val="20"/>
                <w:szCs w:val="20"/>
              </w:rPr>
            </w:pPr>
          </w:p>
        </w:tc>
        <w:tc>
          <w:tcPr>
            <w:tcW w:w="399" w:type="pct"/>
            <w:tcBorders>
              <w:top w:val="nil"/>
              <w:left w:val="nil"/>
              <w:bottom w:val="nil"/>
              <w:right w:val="nil"/>
            </w:tcBorders>
            <w:shd w:val="clear" w:color="auto" w:fill="auto"/>
            <w:noWrap/>
            <w:vAlign w:val="bottom"/>
            <w:hideMark/>
          </w:tcPr>
          <w:p w14:paraId="32C821C8"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42C4D437"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140E24AA"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7DA149B2" w14:textId="77777777" w:rsidR="00252675" w:rsidRPr="00252675" w:rsidRDefault="00252675" w:rsidP="00252675">
            <w:pPr>
              <w:ind w:firstLine="0"/>
              <w:jc w:val="left"/>
              <w:rPr>
                <w:sz w:val="20"/>
                <w:szCs w:val="20"/>
              </w:rPr>
            </w:pPr>
          </w:p>
        </w:tc>
      </w:tr>
      <w:tr w:rsidR="00187DCF" w:rsidRPr="00252675" w14:paraId="71ADAE26" w14:textId="77777777" w:rsidTr="00187DCF">
        <w:trPr>
          <w:gridAfter w:val="1"/>
          <w:wAfter w:w="11" w:type="pct"/>
          <w:trHeight w:val="619"/>
        </w:trPr>
        <w:tc>
          <w:tcPr>
            <w:tcW w:w="26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B72CEB5" w14:textId="77777777" w:rsidR="00252675" w:rsidRPr="00252675" w:rsidRDefault="00252675" w:rsidP="00252675">
            <w:pPr>
              <w:ind w:firstLine="0"/>
              <w:jc w:val="center"/>
              <w:rPr>
                <w:color w:val="000000"/>
                <w:sz w:val="18"/>
                <w:szCs w:val="18"/>
              </w:rPr>
            </w:pPr>
            <w:r w:rsidRPr="00252675">
              <w:rPr>
                <w:color w:val="000000"/>
                <w:sz w:val="18"/>
                <w:szCs w:val="18"/>
              </w:rPr>
              <w:t>№</w:t>
            </w:r>
          </w:p>
        </w:tc>
        <w:tc>
          <w:tcPr>
            <w:tcW w:w="891"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E70A88E" w14:textId="77777777" w:rsidR="00252675" w:rsidRPr="00252675" w:rsidRDefault="00252675" w:rsidP="00252675">
            <w:pPr>
              <w:ind w:firstLine="0"/>
              <w:jc w:val="center"/>
              <w:rPr>
                <w:color w:val="000000"/>
                <w:sz w:val="18"/>
                <w:szCs w:val="18"/>
              </w:rPr>
            </w:pPr>
            <w:r w:rsidRPr="00252675">
              <w:rPr>
                <w:color w:val="000000"/>
                <w:sz w:val="18"/>
                <w:szCs w:val="18"/>
              </w:rPr>
              <w:t>Наименование товара, работы, услуги</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2FF2F45" w14:textId="77777777" w:rsidR="00252675" w:rsidRPr="00252675" w:rsidRDefault="00252675" w:rsidP="00252675">
            <w:pPr>
              <w:ind w:firstLine="0"/>
              <w:jc w:val="center"/>
              <w:rPr>
                <w:color w:val="000000"/>
                <w:sz w:val="18"/>
                <w:szCs w:val="18"/>
              </w:rPr>
            </w:pPr>
            <w:r w:rsidRPr="00252675">
              <w:rPr>
                <w:color w:val="000000"/>
                <w:sz w:val="18"/>
                <w:szCs w:val="18"/>
              </w:rPr>
              <w:t>Единица измерения</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2C5422F" w14:textId="77777777" w:rsidR="00252675" w:rsidRPr="00252675" w:rsidRDefault="00252675" w:rsidP="00252675">
            <w:pPr>
              <w:ind w:firstLine="0"/>
              <w:jc w:val="center"/>
              <w:rPr>
                <w:color w:val="000000"/>
                <w:sz w:val="18"/>
                <w:szCs w:val="18"/>
              </w:rPr>
            </w:pPr>
            <w:r w:rsidRPr="00252675">
              <w:rPr>
                <w:color w:val="000000"/>
                <w:sz w:val="18"/>
                <w:szCs w:val="18"/>
              </w:rPr>
              <w:t>Количество</w:t>
            </w:r>
          </w:p>
        </w:tc>
        <w:tc>
          <w:tcPr>
            <w:tcW w:w="291"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488CFEE" w14:textId="77777777" w:rsidR="00252675" w:rsidRPr="00252675" w:rsidRDefault="00252675" w:rsidP="00252675">
            <w:pPr>
              <w:ind w:firstLine="0"/>
              <w:jc w:val="center"/>
              <w:rPr>
                <w:color w:val="000000"/>
                <w:sz w:val="18"/>
                <w:szCs w:val="18"/>
              </w:rPr>
            </w:pPr>
            <w:r w:rsidRPr="00252675">
              <w:rPr>
                <w:color w:val="000000"/>
                <w:sz w:val="18"/>
                <w:szCs w:val="18"/>
              </w:rPr>
              <w:t>Количество источников ценовой информации</w:t>
            </w:r>
          </w:p>
        </w:tc>
        <w:tc>
          <w:tcPr>
            <w:tcW w:w="1273" w:type="pct"/>
            <w:gridSpan w:val="3"/>
            <w:tcBorders>
              <w:top w:val="single" w:sz="4" w:space="0" w:color="000000"/>
              <w:left w:val="nil"/>
              <w:bottom w:val="single" w:sz="4" w:space="0" w:color="000000"/>
              <w:right w:val="single" w:sz="4" w:space="0" w:color="000000"/>
            </w:tcBorders>
            <w:shd w:val="clear" w:color="000000" w:fill="E4E4E4"/>
            <w:vAlign w:val="center"/>
            <w:hideMark/>
          </w:tcPr>
          <w:p w14:paraId="0F9DA28C" w14:textId="77777777" w:rsidR="00252675" w:rsidRPr="00252675" w:rsidRDefault="00252675" w:rsidP="00252675">
            <w:pPr>
              <w:ind w:firstLine="0"/>
              <w:jc w:val="center"/>
              <w:rPr>
                <w:color w:val="000000"/>
                <w:sz w:val="18"/>
                <w:szCs w:val="18"/>
              </w:rPr>
            </w:pPr>
            <w:r w:rsidRPr="00252675">
              <w:rPr>
                <w:color w:val="000000"/>
                <w:sz w:val="18"/>
                <w:szCs w:val="18"/>
              </w:rPr>
              <w:t>Цены поставщиков (исполнителей, подрядчиков) за единицу товара (работы, услуги), рублей</w:t>
            </w:r>
          </w:p>
        </w:tc>
        <w:tc>
          <w:tcPr>
            <w:tcW w:w="39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D719A78" w14:textId="77777777" w:rsidR="00252675" w:rsidRPr="00252675" w:rsidRDefault="00252675" w:rsidP="00252675">
            <w:pPr>
              <w:ind w:firstLine="0"/>
              <w:jc w:val="center"/>
              <w:rPr>
                <w:color w:val="000000"/>
                <w:sz w:val="18"/>
                <w:szCs w:val="18"/>
              </w:rPr>
            </w:pPr>
            <w:r w:rsidRPr="00252675">
              <w:rPr>
                <w:color w:val="000000"/>
                <w:sz w:val="18"/>
                <w:szCs w:val="18"/>
              </w:rPr>
              <w:t>Средняя цена за единицу ТРУ, руб.</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7A3FBD9D" w14:textId="77777777" w:rsidR="00252675" w:rsidRPr="00252675" w:rsidRDefault="00252675" w:rsidP="00252675">
            <w:pPr>
              <w:ind w:firstLine="0"/>
              <w:jc w:val="center"/>
              <w:rPr>
                <w:color w:val="000000"/>
                <w:sz w:val="18"/>
                <w:szCs w:val="18"/>
              </w:rPr>
            </w:pPr>
            <w:r w:rsidRPr="00252675">
              <w:rPr>
                <w:color w:val="000000"/>
                <w:sz w:val="18"/>
                <w:szCs w:val="18"/>
              </w:rPr>
              <w:t>Коэффициент вариации, %</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7A5A2FEF" w14:textId="77777777" w:rsidR="00252675" w:rsidRPr="00252675" w:rsidRDefault="00252675" w:rsidP="00252675">
            <w:pPr>
              <w:ind w:firstLine="0"/>
              <w:jc w:val="center"/>
              <w:rPr>
                <w:color w:val="000000"/>
                <w:sz w:val="18"/>
                <w:szCs w:val="18"/>
              </w:rPr>
            </w:pPr>
            <w:r w:rsidRPr="00252675">
              <w:rPr>
                <w:color w:val="000000"/>
                <w:sz w:val="18"/>
                <w:szCs w:val="18"/>
              </w:rPr>
              <w:t>Цена за единицу ТРУ минимального ценового предложения, руб.</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70EDE66C" w14:textId="77777777" w:rsidR="00252675" w:rsidRPr="00252675" w:rsidRDefault="00252675" w:rsidP="00252675">
            <w:pPr>
              <w:ind w:firstLine="0"/>
              <w:jc w:val="center"/>
              <w:rPr>
                <w:color w:val="000000"/>
                <w:sz w:val="18"/>
                <w:szCs w:val="18"/>
              </w:rPr>
            </w:pPr>
            <w:r w:rsidRPr="00252675">
              <w:rPr>
                <w:color w:val="000000"/>
                <w:sz w:val="18"/>
                <w:szCs w:val="18"/>
              </w:rPr>
              <w:t>Начальная (максимальная) цена, руб. с НДС</w:t>
            </w:r>
          </w:p>
        </w:tc>
      </w:tr>
      <w:tr w:rsidR="00187DCF" w:rsidRPr="00252675" w14:paraId="057E8D93" w14:textId="77777777" w:rsidTr="00187DCF">
        <w:trPr>
          <w:gridAfter w:val="1"/>
          <w:wAfter w:w="11" w:type="pct"/>
          <w:trHeight w:val="619"/>
        </w:trPr>
        <w:tc>
          <w:tcPr>
            <w:tcW w:w="269" w:type="pct"/>
            <w:vMerge/>
            <w:tcBorders>
              <w:top w:val="single" w:sz="4" w:space="0" w:color="000000"/>
              <w:left w:val="single" w:sz="4" w:space="0" w:color="000000"/>
              <w:bottom w:val="single" w:sz="4" w:space="0" w:color="000000"/>
              <w:right w:val="single" w:sz="4" w:space="0" w:color="000000"/>
            </w:tcBorders>
            <w:vAlign w:val="center"/>
            <w:hideMark/>
          </w:tcPr>
          <w:p w14:paraId="2EFEDDD1" w14:textId="77777777" w:rsidR="00252675" w:rsidRPr="00252675" w:rsidRDefault="00252675" w:rsidP="00252675">
            <w:pPr>
              <w:ind w:firstLine="0"/>
              <w:jc w:val="left"/>
              <w:rPr>
                <w:color w:val="000000"/>
                <w:sz w:val="18"/>
                <w:szCs w:val="18"/>
              </w:rPr>
            </w:pPr>
          </w:p>
        </w:tc>
        <w:tc>
          <w:tcPr>
            <w:tcW w:w="891" w:type="pct"/>
            <w:vMerge/>
            <w:tcBorders>
              <w:top w:val="single" w:sz="4" w:space="0" w:color="000000"/>
              <w:left w:val="single" w:sz="4" w:space="0" w:color="000000"/>
              <w:bottom w:val="single" w:sz="4" w:space="0" w:color="000000"/>
              <w:right w:val="single" w:sz="4" w:space="0" w:color="000000"/>
            </w:tcBorders>
            <w:vAlign w:val="center"/>
            <w:hideMark/>
          </w:tcPr>
          <w:p w14:paraId="02907811" w14:textId="77777777" w:rsidR="00252675" w:rsidRPr="00252675" w:rsidRDefault="00252675" w:rsidP="00252675">
            <w:pPr>
              <w:ind w:firstLine="0"/>
              <w:jc w:val="left"/>
              <w:rPr>
                <w:color w:val="000000"/>
                <w:sz w:val="18"/>
                <w:szCs w:val="18"/>
              </w:rPr>
            </w:pPr>
          </w:p>
        </w:tc>
        <w:tc>
          <w:tcPr>
            <w:tcW w:w="328" w:type="pct"/>
            <w:vMerge/>
            <w:tcBorders>
              <w:top w:val="single" w:sz="4" w:space="0" w:color="000000"/>
              <w:left w:val="single" w:sz="4" w:space="0" w:color="000000"/>
              <w:bottom w:val="single" w:sz="4" w:space="0" w:color="000000"/>
              <w:right w:val="single" w:sz="4" w:space="0" w:color="000000"/>
            </w:tcBorders>
            <w:vAlign w:val="center"/>
            <w:hideMark/>
          </w:tcPr>
          <w:p w14:paraId="7B5ACF2E" w14:textId="77777777" w:rsidR="00252675" w:rsidRPr="00252675" w:rsidRDefault="00252675" w:rsidP="00252675">
            <w:pPr>
              <w:ind w:firstLine="0"/>
              <w:jc w:val="left"/>
              <w:rPr>
                <w:color w:val="000000"/>
                <w:sz w:val="18"/>
                <w:szCs w:val="18"/>
              </w:rPr>
            </w:pPr>
          </w:p>
        </w:tc>
        <w:tc>
          <w:tcPr>
            <w:tcW w:w="356" w:type="pct"/>
            <w:vMerge/>
            <w:tcBorders>
              <w:top w:val="single" w:sz="4" w:space="0" w:color="000000"/>
              <w:left w:val="single" w:sz="4" w:space="0" w:color="000000"/>
              <w:bottom w:val="single" w:sz="4" w:space="0" w:color="000000"/>
              <w:right w:val="single" w:sz="4" w:space="0" w:color="000000"/>
            </w:tcBorders>
            <w:vAlign w:val="center"/>
            <w:hideMark/>
          </w:tcPr>
          <w:p w14:paraId="65CB21F4" w14:textId="77777777" w:rsidR="00252675" w:rsidRPr="00252675" w:rsidRDefault="00252675" w:rsidP="00252675">
            <w:pPr>
              <w:ind w:firstLine="0"/>
              <w:jc w:val="left"/>
              <w:rPr>
                <w:color w:val="000000"/>
                <w:sz w:val="18"/>
                <w:szCs w:val="18"/>
              </w:rPr>
            </w:pPr>
          </w:p>
        </w:tc>
        <w:tc>
          <w:tcPr>
            <w:tcW w:w="291" w:type="pct"/>
            <w:vMerge/>
            <w:tcBorders>
              <w:top w:val="single" w:sz="4" w:space="0" w:color="000000"/>
              <w:left w:val="single" w:sz="4" w:space="0" w:color="000000"/>
              <w:bottom w:val="single" w:sz="4" w:space="0" w:color="000000"/>
              <w:right w:val="single" w:sz="4" w:space="0" w:color="000000"/>
            </w:tcBorders>
            <w:vAlign w:val="center"/>
            <w:hideMark/>
          </w:tcPr>
          <w:p w14:paraId="3CE2835A" w14:textId="77777777" w:rsidR="00252675" w:rsidRPr="00252675" w:rsidRDefault="00252675" w:rsidP="00252675">
            <w:pPr>
              <w:ind w:firstLine="0"/>
              <w:jc w:val="left"/>
              <w:rPr>
                <w:color w:val="000000"/>
                <w:sz w:val="18"/>
                <w:szCs w:val="18"/>
              </w:rPr>
            </w:pPr>
          </w:p>
        </w:tc>
        <w:tc>
          <w:tcPr>
            <w:tcW w:w="410" w:type="pct"/>
            <w:tcBorders>
              <w:top w:val="nil"/>
              <w:left w:val="nil"/>
              <w:bottom w:val="single" w:sz="4" w:space="0" w:color="000000"/>
              <w:right w:val="single" w:sz="4" w:space="0" w:color="000000"/>
            </w:tcBorders>
            <w:shd w:val="clear" w:color="000000" w:fill="E4E4E4"/>
            <w:vAlign w:val="center"/>
            <w:hideMark/>
          </w:tcPr>
          <w:p w14:paraId="58D5FB3F" w14:textId="77777777" w:rsidR="00252675" w:rsidRPr="00252675" w:rsidRDefault="00252675" w:rsidP="00252675">
            <w:pPr>
              <w:ind w:firstLine="0"/>
              <w:jc w:val="center"/>
              <w:rPr>
                <w:color w:val="000000"/>
                <w:sz w:val="18"/>
                <w:szCs w:val="18"/>
              </w:rPr>
            </w:pPr>
            <w:r w:rsidRPr="00252675">
              <w:rPr>
                <w:color w:val="000000"/>
                <w:sz w:val="18"/>
                <w:szCs w:val="18"/>
              </w:rPr>
              <w:t>Источник №1</w:t>
            </w:r>
          </w:p>
        </w:tc>
        <w:tc>
          <w:tcPr>
            <w:tcW w:w="408" w:type="pct"/>
            <w:tcBorders>
              <w:top w:val="nil"/>
              <w:left w:val="nil"/>
              <w:bottom w:val="single" w:sz="4" w:space="0" w:color="000000"/>
              <w:right w:val="single" w:sz="4" w:space="0" w:color="000000"/>
            </w:tcBorders>
            <w:shd w:val="clear" w:color="000000" w:fill="E4E4E4"/>
            <w:vAlign w:val="center"/>
            <w:hideMark/>
          </w:tcPr>
          <w:p w14:paraId="24147AC7" w14:textId="77777777" w:rsidR="00252675" w:rsidRPr="00252675" w:rsidRDefault="00252675" w:rsidP="00252675">
            <w:pPr>
              <w:ind w:firstLine="0"/>
              <w:jc w:val="center"/>
              <w:rPr>
                <w:color w:val="000000"/>
                <w:sz w:val="18"/>
                <w:szCs w:val="18"/>
              </w:rPr>
            </w:pPr>
            <w:r w:rsidRPr="00252675">
              <w:rPr>
                <w:color w:val="000000"/>
                <w:sz w:val="18"/>
                <w:szCs w:val="18"/>
              </w:rPr>
              <w:t>Источник №2</w:t>
            </w:r>
          </w:p>
        </w:tc>
        <w:tc>
          <w:tcPr>
            <w:tcW w:w="455" w:type="pct"/>
            <w:tcBorders>
              <w:top w:val="nil"/>
              <w:left w:val="nil"/>
              <w:bottom w:val="single" w:sz="4" w:space="0" w:color="000000"/>
              <w:right w:val="single" w:sz="4" w:space="0" w:color="000000"/>
            </w:tcBorders>
            <w:shd w:val="clear" w:color="000000" w:fill="E4E4E4"/>
            <w:vAlign w:val="center"/>
            <w:hideMark/>
          </w:tcPr>
          <w:p w14:paraId="40B6E46F" w14:textId="77777777" w:rsidR="00252675" w:rsidRPr="00252675" w:rsidRDefault="00252675" w:rsidP="00252675">
            <w:pPr>
              <w:ind w:firstLine="0"/>
              <w:jc w:val="center"/>
              <w:rPr>
                <w:color w:val="000000"/>
                <w:sz w:val="18"/>
                <w:szCs w:val="18"/>
              </w:rPr>
            </w:pPr>
            <w:r w:rsidRPr="00252675">
              <w:rPr>
                <w:color w:val="000000"/>
                <w:sz w:val="18"/>
                <w:szCs w:val="18"/>
              </w:rPr>
              <w:t>Источник №3</w:t>
            </w:r>
          </w:p>
        </w:tc>
        <w:tc>
          <w:tcPr>
            <w:tcW w:w="399" w:type="pct"/>
            <w:vMerge/>
            <w:tcBorders>
              <w:top w:val="single" w:sz="4" w:space="0" w:color="000000"/>
              <w:left w:val="single" w:sz="4" w:space="0" w:color="000000"/>
              <w:bottom w:val="single" w:sz="4" w:space="0" w:color="000000"/>
              <w:right w:val="single" w:sz="4" w:space="0" w:color="000000"/>
            </w:tcBorders>
            <w:vAlign w:val="center"/>
            <w:hideMark/>
          </w:tcPr>
          <w:p w14:paraId="43663C62" w14:textId="77777777" w:rsidR="00252675" w:rsidRPr="00252675" w:rsidRDefault="00252675" w:rsidP="00252675">
            <w:pPr>
              <w:ind w:firstLine="0"/>
              <w:jc w:val="left"/>
              <w:rPr>
                <w:color w:val="000000"/>
                <w:sz w:val="18"/>
                <w:szCs w:val="18"/>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44274F12" w14:textId="77777777" w:rsidR="00252675" w:rsidRPr="00252675" w:rsidRDefault="00252675" w:rsidP="00252675">
            <w:pPr>
              <w:ind w:firstLine="0"/>
              <w:jc w:val="left"/>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33114CB7" w14:textId="77777777" w:rsidR="00252675" w:rsidRPr="00252675" w:rsidRDefault="00252675" w:rsidP="00252675">
            <w:pPr>
              <w:ind w:firstLine="0"/>
              <w:jc w:val="left"/>
              <w:rPr>
                <w:color w:val="000000"/>
                <w:sz w:val="18"/>
                <w:szCs w:val="18"/>
              </w:rPr>
            </w:pPr>
          </w:p>
        </w:tc>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39B8E6E4" w14:textId="77777777" w:rsidR="00252675" w:rsidRPr="00252675" w:rsidRDefault="00252675" w:rsidP="00252675">
            <w:pPr>
              <w:ind w:firstLine="0"/>
              <w:jc w:val="left"/>
              <w:rPr>
                <w:color w:val="000000"/>
                <w:sz w:val="18"/>
                <w:szCs w:val="18"/>
              </w:rPr>
            </w:pPr>
          </w:p>
        </w:tc>
      </w:tr>
      <w:tr w:rsidR="00187DCF" w:rsidRPr="00252675" w14:paraId="6C934612" w14:textId="77777777" w:rsidTr="00187DCF">
        <w:trPr>
          <w:gridAfter w:val="1"/>
          <w:wAfter w:w="11" w:type="pct"/>
          <w:trHeight w:val="300"/>
        </w:trPr>
        <w:tc>
          <w:tcPr>
            <w:tcW w:w="269" w:type="pct"/>
            <w:tcBorders>
              <w:top w:val="nil"/>
              <w:left w:val="single" w:sz="4" w:space="0" w:color="000000"/>
              <w:bottom w:val="single" w:sz="4" w:space="0" w:color="000000"/>
              <w:right w:val="single" w:sz="4" w:space="0" w:color="000000"/>
            </w:tcBorders>
            <w:shd w:val="clear" w:color="auto" w:fill="auto"/>
            <w:noWrap/>
            <w:vAlign w:val="center"/>
            <w:hideMark/>
          </w:tcPr>
          <w:p w14:paraId="630A0496" w14:textId="77777777" w:rsidR="00252675" w:rsidRPr="00252675" w:rsidRDefault="00252675" w:rsidP="00252675">
            <w:pPr>
              <w:ind w:firstLine="0"/>
              <w:jc w:val="left"/>
              <w:rPr>
                <w:color w:val="000000"/>
                <w:sz w:val="20"/>
                <w:szCs w:val="20"/>
              </w:rPr>
            </w:pPr>
            <w:r w:rsidRPr="00252675">
              <w:rPr>
                <w:color w:val="000000"/>
                <w:sz w:val="20"/>
                <w:szCs w:val="20"/>
              </w:rPr>
              <w:t>1</w:t>
            </w:r>
          </w:p>
        </w:tc>
        <w:tc>
          <w:tcPr>
            <w:tcW w:w="891" w:type="pct"/>
            <w:tcBorders>
              <w:top w:val="nil"/>
              <w:left w:val="nil"/>
              <w:bottom w:val="single" w:sz="4" w:space="0" w:color="000000"/>
              <w:right w:val="single" w:sz="4" w:space="0" w:color="000000"/>
            </w:tcBorders>
            <w:shd w:val="clear" w:color="auto" w:fill="auto"/>
            <w:vAlign w:val="center"/>
            <w:hideMark/>
          </w:tcPr>
          <w:p w14:paraId="125ED393" w14:textId="77777777" w:rsidR="00252675" w:rsidRPr="00252675" w:rsidRDefault="00252675" w:rsidP="00252675">
            <w:pPr>
              <w:ind w:firstLine="0"/>
              <w:jc w:val="left"/>
              <w:rPr>
                <w:color w:val="000000"/>
                <w:sz w:val="20"/>
                <w:szCs w:val="20"/>
              </w:rPr>
            </w:pPr>
            <w:r w:rsidRPr="00252675">
              <w:rPr>
                <w:color w:val="000000"/>
                <w:sz w:val="20"/>
                <w:szCs w:val="20"/>
              </w:rPr>
              <w:t>Услуги по физической охране объектов</w:t>
            </w:r>
          </w:p>
        </w:tc>
        <w:tc>
          <w:tcPr>
            <w:tcW w:w="328" w:type="pct"/>
            <w:tcBorders>
              <w:top w:val="nil"/>
              <w:left w:val="nil"/>
              <w:bottom w:val="single" w:sz="4" w:space="0" w:color="000000"/>
              <w:right w:val="single" w:sz="4" w:space="0" w:color="000000"/>
            </w:tcBorders>
            <w:shd w:val="clear" w:color="auto" w:fill="auto"/>
            <w:vAlign w:val="center"/>
            <w:hideMark/>
          </w:tcPr>
          <w:p w14:paraId="5AE76327" w14:textId="77777777" w:rsidR="00252675" w:rsidRPr="00252675" w:rsidRDefault="00252675" w:rsidP="00252675">
            <w:pPr>
              <w:ind w:firstLine="0"/>
              <w:jc w:val="left"/>
              <w:rPr>
                <w:color w:val="000000"/>
                <w:sz w:val="20"/>
                <w:szCs w:val="20"/>
              </w:rPr>
            </w:pPr>
            <w:r w:rsidRPr="00252675">
              <w:rPr>
                <w:color w:val="000000"/>
                <w:sz w:val="20"/>
                <w:szCs w:val="20"/>
              </w:rPr>
              <w:t>Месяц</w:t>
            </w:r>
          </w:p>
        </w:tc>
        <w:tc>
          <w:tcPr>
            <w:tcW w:w="356" w:type="pct"/>
            <w:tcBorders>
              <w:top w:val="nil"/>
              <w:left w:val="nil"/>
              <w:bottom w:val="single" w:sz="4" w:space="0" w:color="000000"/>
              <w:right w:val="single" w:sz="4" w:space="0" w:color="000000"/>
            </w:tcBorders>
            <w:shd w:val="clear" w:color="auto" w:fill="auto"/>
            <w:vAlign w:val="center"/>
            <w:hideMark/>
          </w:tcPr>
          <w:p w14:paraId="79D3A435" w14:textId="77777777" w:rsidR="00252675" w:rsidRPr="00252675" w:rsidRDefault="00252675" w:rsidP="00252675">
            <w:pPr>
              <w:ind w:firstLine="0"/>
              <w:jc w:val="right"/>
              <w:rPr>
                <w:color w:val="000000"/>
                <w:sz w:val="20"/>
                <w:szCs w:val="20"/>
              </w:rPr>
            </w:pPr>
            <w:r w:rsidRPr="00252675">
              <w:rPr>
                <w:color w:val="000000"/>
                <w:sz w:val="20"/>
                <w:szCs w:val="20"/>
              </w:rPr>
              <w:t>12,00000</w:t>
            </w:r>
          </w:p>
        </w:tc>
        <w:tc>
          <w:tcPr>
            <w:tcW w:w="291" w:type="pct"/>
            <w:tcBorders>
              <w:top w:val="nil"/>
              <w:left w:val="nil"/>
              <w:bottom w:val="single" w:sz="4" w:space="0" w:color="000000"/>
              <w:right w:val="single" w:sz="4" w:space="0" w:color="000000"/>
            </w:tcBorders>
            <w:shd w:val="clear" w:color="auto" w:fill="auto"/>
            <w:vAlign w:val="center"/>
            <w:hideMark/>
          </w:tcPr>
          <w:p w14:paraId="474F8BAD" w14:textId="77777777" w:rsidR="00252675" w:rsidRPr="00252675" w:rsidRDefault="00252675" w:rsidP="00252675">
            <w:pPr>
              <w:ind w:firstLine="0"/>
              <w:jc w:val="center"/>
              <w:rPr>
                <w:color w:val="000000"/>
                <w:sz w:val="20"/>
                <w:szCs w:val="20"/>
              </w:rPr>
            </w:pPr>
            <w:r w:rsidRPr="00252675">
              <w:rPr>
                <w:color w:val="000000"/>
                <w:sz w:val="20"/>
                <w:szCs w:val="20"/>
              </w:rPr>
              <w:t>3</w:t>
            </w:r>
          </w:p>
        </w:tc>
        <w:tc>
          <w:tcPr>
            <w:tcW w:w="410" w:type="pct"/>
            <w:tcBorders>
              <w:top w:val="nil"/>
              <w:left w:val="nil"/>
              <w:bottom w:val="single" w:sz="4" w:space="0" w:color="000000"/>
              <w:right w:val="single" w:sz="4" w:space="0" w:color="000000"/>
            </w:tcBorders>
            <w:shd w:val="clear" w:color="auto" w:fill="auto"/>
            <w:vAlign w:val="center"/>
            <w:hideMark/>
          </w:tcPr>
          <w:p w14:paraId="51AE4097" w14:textId="77777777" w:rsidR="00252675" w:rsidRPr="00252675" w:rsidRDefault="00252675" w:rsidP="00252675">
            <w:pPr>
              <w:ind w:firstLine="0"/>
              <w:jc w:val="center"/>
              <w:rPr>
                <w:color w:val="000000"/>
                <w:sz w:val="20"/>
                <w:szCs w:val="20"/>
              </w:rPr>
            </w:pPr>
            <w:r w:rsidRPr="00252675">
              <w:rPr>
                <w:color w:val="000000"/>
                <w:sz w:val="20"/>
                <w:szCs w:val="20"/>
              </w:rPr>
              <w:t>547 500,00</w:t>
            </w:r>
          </w:p>
        </w:tc>
        <w:tc>
          <w:tcPr>
            <w:tcW w:w="408" w:type="pct"/>
            <w:tcBorders>
              <w:top w:val="nil"/>
              <w:left w:val="nil"/>
              <w:bottom w:val="single" w:sz="4" w:space="0" w:color="000000"/>
              <w:right w:val="single" w:sz="4" w:space="0" w:color="000000"/>
            </w:tcBorders>
            <w:shd w:val="clear" w:color="auto" w:fill="auto"/>
            <w:vAlign w:val="center"/>
            <w:hideMark/>
          </w:tcPr>
          <w:p w14:paraId="24F0CB68" w14:textId="77777777" w:rsidR="00252675" w:rsidRPr="00252675" w:rsidRDefault="00252675" w:rsidP="00252675">
            <w:pPr>
              <w:ind w:firstLine="0"/>
              <w:jc w:val="center"/>
              <w:rPr>
                <w:color w:val="000000"/>
                <w:sz w:val="20"/>
                <w:szCs w:val="20"/>
              </w:rPr>
            </w:pPr>
            <w:r w:rsidRPr="00252675">
              <w:rPr>
                <w:color w:val="000000"/>
                <w:sz w:val="20"/>
                <w:szCs w:val="20"/>
              </w:rPr>
              <w:t>755 424,00</w:t>
            </w:r>
          </w:p>
        </w:tc>
        <w:tc>
          <w:tcPr>
            <w:tcW w:w="455" w:type="pct"/>
            <w:tcBorders>
              <w:top w:val="nil"/>
              <w:left w:val="nil"/>
              <w:bottom w:val="single" w:sz="4" w:space="0" w:color="000000"/>
              <w:right w:val="single" w:sz="4" w:space="0" w:color="000000"/>
            </w:tcBorders>
            <w:shd w:val="clear" w:color="auto" w:fill="auto"/>
            <w:vAlign w:val="center"/>
            <w:hideMark/>
          </w:tcPr>
          <w:p w14:paraId="44B8137F" w14:textId="77777777" w:rsidR="00252675" w:rsidRPr="00252675" w:rsidRDefault="00252675" w:rsidP="00252675">
            <w:pPr>
              <w:ind w:firstLine="0"/>
              <w:jc w:val="center"/>
              <w:rPr>
                <w:color w:val="000000"/>
                <w:sz w:val="20"/>
                <w:szCs w:val="20"/>
              </w:rPr>
            </w:pPr>
            <w:r w:rsidRPr="00252675">
              <w:rPr>
                <w:color w:val="000000"/>
                <w:sz w:val="20"/>
                <w:szCs w:val="20"/>
              </w:rPr>
              <w:t>876 000,00</w:t>
            </w:r>
          </w:p>
        </w:tc>
        <w:tc>
          <w:tcPr>
            <w:tcW w:w="399" w:type="pct"/>
            <w:tcBorders>
              <w:top w:val="nil"/>
              <w:left w:val="nil"/>
              <w:bottom w:val="single" w:sz="4" w:space="0" w:color="000000"/>
              <w:right w:val="single" w:sz="4" w:space="0" w:color="000000"/>
            </w:tcBorders>
            <w:shd w:val="clear" w:color="auto" w:fill="auto"/>
            <w:vAlign w:val="center"/>
            <w:hideMark/>
          </w:tcPr>
          <w:p w14:paraId="64D0CA3F" w14:textId="77777777" w:rsidR="00252675" w:rsidRPr="00252675" w:rsidRDefault="00252675" w:rsidP="00252675">
            <w:pPr>
              <w:ind w:firstLine="0"/>
              <w:jc w:val="right"/>
              <w:rPr>
                <w:color w:val="000000"/>
                <w:sz w:val="20"/>
                <w:szCs w:val="20"/>
              </w:rPr>
            </w:pPr>
            <w:r w:rsidRPr="00252675">
              <w:rPr>
                <w:color w:val="000000"/>
                <w:sz w:val="20"/>
                <w:szCs w:val="20"/>
              </w:rPr>
              <w:t>726 308,00</w:t>
            </w:r>
          </w:p>
        </w:tc>
        <w:tc>
          <w:tcPr>
            <w:tcW w:w="361" w:type="pct"/>
            <w:tcBorders>
              <w:top w:val="nil"/>
              <w:left w:val="nil"/>
              <w:bottom w:val="single" w:sz="4" w:space="0" w:color="000000"/>
              <w:right w:val="single" w:sz="4" w:space="0" w:color="000000"/>
            </w:tcBorders>
            <w:shd w:val="clear" w:color="auto" w:fill="auto"/>
            <w:vAlign w:val="center"/>
            <w:hideMark/>
          </w:tcPr>
          <w:p w14:paraId="38EBCE4B" w14:textId="77777777" w:rsidR="00252675" w:rsidRPr="00252675" w:rsidRDefault="00252675" w:rsidP="00252675">
            <w:pPr>
              <w:ind w:firstLine="0"/>
              <w:jc w:val="right"/>
              <w:rPr>
                <w:color w:val="000000"/>
                <w:sz w:val="20"/>
                <w:szCs w:val="20"/>
              </w:rPr>
            </w:pPr>
            <w:r w:rsidRPr="00252675">
              <w:rPr>
                <w:color w:val="000000"/>
                <w:sz w:val="20"/>
                <w:szCs w:val="20"/>
              </w:rPr>
              <w:t>22,88%</w:t>
            </w:r>
          </w:p>
        </w:tc>
        <w:tc>
          <w:tcPr>
            <w:tcW w:w="374" w:type="pct"/>
            <w:tcBorders>
              <w:top w:val="nil"/>
              <w:left w:val="nil"/>
              <w:bottom w:val="single" w:sz="4" w:space="0" w:color="000000"/>
              <w:right w:val="single" w:sz="4" w:space="0" w:color="000000"/>
            </w:tcBorders>
            <w:shd w:val="clear" w:color="auto" w:fill="auto"/>
            <w:vAlign w:val="center"/>
            <w:hideMark/>
          </w:tcPr>
          <w:p w14:paraId="4955F34E" w14:textId="77777777" w:rsidR="00252675" w:rsidRPr="00252675" w:rsidRDefault="00252675" w:rsidP="00252675">
            <w:pPr>
              <w:ind w:firstLine="0"/>
              <w:jc w:val="right"/>
              <w:rPr>
                <w:color w:val="000000"/>
                <w:sz w:val="20"/>
                <w:szCs w:val="20"/>
              </w:rPr>
            </w:pPr>
            <w:r w:rsidRPr="00252675">
              <w:rPr>
                <w:color w:val="000000"/>
                <w:sz w:val="20"/>
                <w:szCs w:val="20"/>
              </w:rPr>
              <w:t>547 500,00</w:t>
            </w:r>
          </w:p>
        </w:tc>
        <w:tc>
          <w:tcPr>
            <w:tcW w:w="447" w:type="pct"/>
            <w:tcBorders>
              <w:top w:val="nil"/>
              <w:left w:val="nil"/>
              <w:bottom w:val="single" w:sz="4" w:space="0" w:color="000000"/>
              <w:right w:val="single" w:sz="4" w:space="0" w:color="000000"/>
            </w:tcBorders>
            <w:shd w:val="clear" w:color="auto" w:fill="auto"/>
            <w:vAlign w:val="center"/>
            <w:hideMark/>
          </w:tcPr>
          <w:p w14:paraId="0163CBEF" w14:textId="77777777" w:rsidR="00252675" w:rsidRPr="00252675" w:rsidRDefault="00252675" w:rsidP="00252675">
            <w:pPr>
              <w:ind w:firstLine="0"/>
              <w:jc w:val="right"/>
              <w:rPr>
                <w:color w:val="000000"/>
                <w:sz w:val="20"/>
                <w:szCs w:val="20"/>
              </w:rPr>
            </w:pPr>
            <w:r w:rsidRPr="00252675">
              <w:rPr>
                <w:color w:val="000000"/>
                <w:sz w:val="20"/>
                <w:szCs w:val="20"/>
              </w:rPr>
              <w:t>6 570 000,00</w:t>
            </w:r>
          </w:p>
        </w:tc>
      </w:tr>
      <w:tr w:rsidR="00187DCF" w:rsidRPr="00252675" w14:paraId="444F1FEF" w14:textId="77777777" w:rsidTr="00187DCF">
        <w:trPr>
          <w:gridAfter w:val="1"/>
          <w:wAfter w:w="11" w:type="pct"/>
          <w:trHeight w:val="300"/>
        </w:trPr>
        <w:tc>
          <w:tcPr>
            <w:tcW w:w="269" w:type="pct"/>
            <w:tcBorders>
              <w:top w:val="nil"/>
              <w:left w:val="single" w:sz="4" w:space="0" w:color="000000"/>
              <w:bottom w:val="single" w:sz="4" w:space="0" w:color="000000"/>
              <w:right w:val="single" w:sz="4" w:space="0" w:color="000000"/>
            </w:tcBorders>
            <w:shd w:val="clear" w:color="auto" w:fill="auto"/>
            <w:vAlign w:val="center"/>
            <w:hideMark/>
          </w:tcPr>
          <w:p w14:paraId="68F40DDC"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891" w:type="pct"/>
            <w:tcBorders>
              <w:top w:val="nil"/>
              <w:left w:val="nil"/>
              <w:bottom w:val="single" w:sz="4" w:space="0" w:color="000000"/>
              <w:right w:val="single" w:sz="4" w:space="0" w:color="000000"/>
            </w:tcBorders>
            <w:shd w:val="clear" w:color="auto" w:fill="auto"/>
            <w:vAlign w:val="center"/>
            <w:hideMark/>
          </w:tcPr>
          <w:p w14:paraId="75C496E5"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28" w:type="pct"/>
            <w:tcBorders>
              <w:top w:val="nil"/>
              <w:left w:val="nil"/>
              <w:bottom w:val="single" w:sz="4" w:space="0" w:color="000000"/>
              <w:right w:val="single" w:sz="4" w:space="0" w:color="000000"/>
            </w:tcBorders>
            <w:shd w:val="clear" w:color="auto" w:fill="auto"/>
            <w:vAlign w:val="center"/>
            <w:hideMark/>
          </w:tcPr>
          <w:p w14:paraId="11DDD790"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56" w:type="pct"/>
            <w:tcBorders>
              <w:top w:val="nil"/>
              <w:left w:val="nil"/>
              <w:bottom w:val="single" w:sz="4" w:space="0" w:color="000000"/>
              <w:right w:val="single" w:sz="4" w:space="0" w:color="000000"/>
            </w:tcBorders>
            <w:shd w:val="clear" w:color="auto" w:fill="auto"/>
            <w:vAlign w:val="center"/>
            <w:hideMark/>
          </w:tcPr>
          <w:p w14:paraId="06A37945"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291" w:type="pct"/>
            <w:tcBorders>
              <w:top w:val="nil"/>
              <w:left w:val="nil"/>
              <w:bottom w:val="single" w:sz="4" w:space="0" w:color="000000"/>
              <w:right w:val="single" w:sz="4" w:space="0" w:color="000000"/>
            </w:tcBorders>
            <w:shd w:val="clear" w:color="auto" w:fill="auto"/>
            <w:vAlign w:val="center"/>
            <w:hideMark/>
          </w:tcPr>
          <w:p w14:paraId="48700A42"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410" w:type="pct"/>
            <w:tcBorders>
              <w:top w:val="nil"/>
              <w:left w:val="nil"/>
              <w:bottom w:val="single" w:sz="4" w:space="0" w:color="000000"/>
              <w:right w:val="single" w:sz="4" w:space="0" w:color="000000"/>
            </w:tcBorders>
            <w:shd w:val="clear" w:color="auto" w:fill="auto"/>
            <w:vAlign w:val="center"/>
            <w:hideMark/>
          </w:tcPr>
          <w:p w14:paraId="0D4656AE" w14:textId="77777777" w:rsidR="00252675" w:rsidRPr="00252675" w:rsidRDefault="00252675" w:rsidP="00252675">
            <w:pPr>
              <w:ind w:firstLine="0"/>
              <w:jc w:val="center"/>
              <w:rPr>
                <w:b/>
                <w:bCs/>
                <w:color w:val="000000"/>
                <w:sz w:val="20"/>
                <w:szCs w:val="20"/>
              </w:rPr>
            </w:pPr>
            <w:r w:rsidRPr="00252675">
              <w:rPr>
                <w:b/>
                <w:bCs/>
                <w:color w:val="000000"/>
                <w:sz w:val="20"/>
                <w:szCs w:val="20"/>
              </w:rPr>
              <w:t>6 570 000,00</w:t>
            </w:r>
          </w:p>
        </w:tc>
        <w:tc>
          <w:tcPr>
            <w:tcW w:w="408" w:type="pct"/>
            <w:tcBorders>
              <w:top w:val="nil"/>
              <w:left w:val="nil"/>
              <w:bottom w:val="single" w:sz="4" w:space="0" w:color="000000"/>
              <w:right w:val="single" w:sz="4" w:space="0" w:color="000000"/>
            </w:tcBorders>
            <w:shd w:val="clear" w:color="auto" w:fill="auto"/>
            <w:vAlign w:val="center"/>
            <w:hideMark/>
          </w:tcPr>
          <w:p w14:paraId="5E77F660" w14:textId="77777777" w:rsidR="00252675" w:rsidRPr="00252675" w:rsidRDefault="00252675" w:rsidP="00252675">
            <w:pPr>
              <w:ind w:firstLine="0"/>
              <w:jc w:val="center"/>
              <w:rPr>
                <w:b/>
                <w:bCs/>
                <w:color w:val="000000"/>
                <w:sz w:val="20"/>
                <w:szCs w:val="20"/>
              </w:rPr>
            </w:pPr>
            <w:r w:rsidRPr="00252675">
              <w:rPr>
                <w:b/>
                <w:bCs/>
                <w:color w:val="000000"/>
                <w:sz w:val="20"/>
                <w:szCs w:val="20"/>
              </w:rPr>
              <w:t>9 065 088,00</w:t>
            </w:r>
          </w:p>
        </w:tc>
        <w:tc>
          <w:tcPr>
            <w:tcW w:w="455" w:type="pct"/>
            <w:tcBorders>
              <w:top w:val="nil"/>
              <w:left w:val="nil"/>
              <w:bottom w:val="single" w:sz="4" w:space="0" w:color="000000"/>
              <w:right w:val="single" w:sz="4" w:space="0" w:color="000000"/>
            </w:tcBorders>
            <w:shd w:val="clear" w:color="auto" w:fill="auto"/>
            <w:vAlign w:val="center"/>
            <w:hideMark/>
          </w:tcPr>
          <w:p w14:paraId="3B339E50" w14:textId="77777777" w:rsidR="00252675" w:rsidRPr="00252675" w:rsidRDefault="00252675" w:rsidP="00252675">
            <w:pPr>
              <w:ind w:firstLine="0"/>
              <w:jc w:val="center"/>
              <w:rPr>
                <w:b/>
                <w:bCs/>
                <w:color w:val="000000"/>
                <w:sz w:val="20"/>
                <w:szCs w:val="20"/>
              </w:rPr>
            </w:pPr>
            <w:r w:rsidRPr="00252675">
              <w:rPr>
                <w:b/>
                <w:bCs/>
                <w:color w:val="000000"/>
                <w:sz w:val="20"/>
                <w:szCs w:val="20"/>
              </w:rPr>
              <w:t>10 512 000,00</w:t>
            </w:r>
          </w:p>
        </w:tc>
        <w:tc>
          <w:tcPr>
            <w:tcW w:w="399" w:type="pct"/>
            <w:tcBorders>
              <w:top w:val="nil"/>
              <w:left w:val="nil"/>
              <w:bottom w:val="single" w:sz="4" w:space="0" w:color="000000"/>
              <w:right w:val="single" w:sz="4" w:space="0" w:color="000000"/>
            </w:tcBorders>
            <w:shd w:val="clear" w:color="auto" w:fill="auto"/>
            <w:vAlign w:val="center"/>
            <w:hideMark/>
          </w:tcPr>
          <w:p w14:paraId="464D29F2"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61" w:type="pct"/>
            <w:tcBorders>
              <w:top w:val="nil"/>
              <w:left w:val="nil"/>
              <w:bottom w:val="single" w:sz="4" w:space="0" w:color="000000"/>
              <w:right w:val="single" w:sz="4" w:space="0" w:color="000000"/>
            </w:tcBorders>
            <w:shd w:val="clear" w:color="auto" w:fill="auto"/>
            <w:vAlign w:val="center"/>
            <w:hideMark/>
          </w:tcPr>
          <w:p w14:paraId="194EFC50" w14:textId="77777777" w:rsidR="00252675" w:rsidRPr="00252675" w:rsidRDefault="00252675" w:rsidP="00252675">
            <w:pPr>
              <w:ind w:firstLine="0"/>
              <w:jc w:val="right"/>
              <w:rPr>
                <w:b/>
                <w:bCs/>
                <w:color w:val="000000"/>
                <w:sz w:val="20"/>
                <w:szCs w:val="20"/>
              </w:rPr>
            </w:pPr>
            <w:r w:rsidRPr="00252675">
              <w:rPr>
                <w:b/>
                <w:bCs/>
                <w:color w:val="000000"/>
                <w:sz w:val="20"/>
                <w:szCs w:val="20"/>
              </w:rPr>
              <w:t>22,88%</w:t>
            </w:r>
          </w:p>
        </w:tc>
        <w:tc>
          <w:tcPr>
            <w:tcW w:w="374" w:type="pct"/>
            <w:tcBorders>
              <w:top w:val="nil"/>
              <w:left w:val="nil"/>
              <w:bottom w:val="single" w:sz="4" w:space="0" w:color="000000"/>
              <w:right w:val="single" w:sz="4" w:space="0" w:color="000000"/>
            </w:tcBorders>
            <w:shd w:val="clear" w:color="auto" w:fill="auto"/>
            <w:vAlign w:val="center"/>
            <w:hideMark/>
          </w:tcPr>
          <w:p w14:paraId="063242E9"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447" w:type="pct"/>
            <w:tcBorders>
              <w:top w:val="nil"/>
              <w:left w:val="nil"/>
              <w:bottom w:val="single" w:sz="4" w:space="0" w:color="000000"/>
              <w:right w:val="single" w:sz="4" w:space="0" w:color="000000"/>
            </w:tcBorders>
            <w:shd w:val="clear" w:color="auto" w:fill="auto"/>
            <w:vAlign w:val="center"/>
            <w:hideMark/>
          </w:tcPr>
          <w:p w14:paraId="513DA0D0"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r>
      <w:tr w:rsidR="00187DCF" w:rsidRPr="00252675" w14:paraId="64F87143" w14:textId="77777777" w:rsidTr="00187DCF">
        <w:trPr>
          <w:gridAfter w:val="1"/>
          <w:wAfter w:w="11" w:type="pct"/>
          <w:trHeight w:val="259"/>
        </w:trPr>
        <w:tc>
          <w:tcPr>
            <w:tcW w:w="2135"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2A88DB88" w14:textId="77777777" w:rsidR="00252675" w:rsidRPr="00252675" w:rsidRDefault="00252675" w:rsidP="00252675">
            <w:pPr>
              <w:ind w:firstLine="0"/>
              <w:jc w:val="right"/>
              <w:rPr>
                <w:b/>
                <w:bCs/>
                <w:color w:val="000000"/>
                <w:sz w:val="20"/>
                <w:szCs w:val="20"/>
              </w:rPr>
            </w:pPr>
            <w:r w:rsidRPr="00252675">
              <w:rPr>
                <w:b/>
                <w:bCs/>
                <w:color w:val="000000"/>
                <w:sz w:val="20"/>
                <w:szCs w:val="20"/>
              </w:rPr>
              <w:t>ИТОГО НМЦ, руб. с НДС:</w:t>
            </w:r>
          </w:p>
        </w:tc>
        <w:tc>
          <w:tcPr>
            <w:tcW w:w="410" w:type="pct"/>
            <w:tcBorders>
              <w:top w:val="nil"/>
              <w:left w:val="single" w:sz="4" w:space="0" w:color="000000"/>
              <w:bottom w:val="single" w:sz="4" w:space="0" w:color="000000"/>
              <w:right w:val="single" w:sz="4" w:space="0" w:color="000000"/>
            </w:tcBorders>
            <w:shd w:val="clear" w:color="auto" w:fill="auto"/>
            <w:vAlign w:val="center"/>
            <w:hideMark/>
          </w:tcPr>
          <w:p w14:paraId="5F5AC3BA"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408" w:type="pct"/>
            <w:tcBorders>
              <w:top w:val="nil"/>
              <w:left w:val="nil"/>
              <w:bottom w:val="single" w:sz="4" w:space="0" w:color="000000"/>
              <w:right w:val="single" w:sz="4" w:space="0" w:color="000000"/>
            </w:tcBorders>
            <w:shd w:val="clear" w:color="auto" w:fill="auto"/>
            <w:vAlign w:val="center"/>
            <w:hideMark/>
          </w:tcPr>
          <w:p w14:paraId="38138FD0"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455" w:type="pct"/>
            <w:tcBorders>
              <w:top w:val="nil"/>
              <w:left w:val="nil"/>
              <w:bottom w:val="single" w:sz="4" w:space="0" w:color="000000"/>
              <w:right w:val="single" w:sz="4" w:space="0" w:color="000000"/>
            </w:tcBorders>
            <w:shd w:val="clear" w:color="auto" w:fill="auto"/>
            <w:vAlign w:val="center"/>
            <w:hideMark/>
          </w:tcPr>
          <w:p w14:paraId="6180DED9"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99" w:type="pct"/>
            <w:tcBorders>
              <w:top w:val="nil"/>
              <w:left w:val="nil"/>
              <w:bottom w:val="single" w:sz="4" w:space="0" w:color="000000"/>
              <w:right w:val="single" w:sz="4" w:space="0" w:color="000000"/>
            </w:tcBorders>
            <w:shd w:val="clear" w:color="auto" w:fill="auto"/>
            <w:vAlign w:val="center"/>
            <w:hideMark/>
          </w:tcPr>
          <w:p w14:paraId="27F22531"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61" w:type="pct"/>
            <w:tcBorders>
              <w:top w:val="nil"/>
              <w:left w:val="nil"/>
              <w:bottom w:val="single" w:sz="4" w:space="0" w:color="000000"/>
              <w:right w:val="single" w:sz="4" w:space="0" w:color="000000"/>
            </w:tcBorders>
            <w:shd w:val="clear" w:color="auto" w:fill="auto"/>
            <w:vAlign w:val="center"/>
            <w:hideMark/>
          </w:tcPr>
          <w:p w14:paraId="0F899408"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374" w:type="pct"/>
            <w:tcBorders>
              <w:top w:val="nil"/>
              <w:left w:val="nil"/>
              <w:bottom w:val="single" w:sz="4" w:space="0" w:color="000000"/>
              <w:right w:val="single" w:sz="4" w:space="0" w:color="000000"/>
            </w:tcBorders>
            <w:shd w:val="clear" w:color="auto" w:fill="auto"/>
            <w:vAlign w:val="center"/>
            <w:hideMark/>
          </w:tcPr>
          <w:p w14:paraId="2C00B878" w14:textId="77777777" w:rsidR="00252675" w:rsidRPr="00252675" w:rsidRDefault="00252675" w:rsidP="00252675">
            <w:pPr>
              <w:ind w:firstLine="0"/>
              <w:jc w:val="right"/>
              <w:rPr>
                <w:b/>
                <w:bCs/>
                <w:color w:val="000000"/>
                <w:sz w:val="20"/>
                <w:szCs w:val="20"/>
              </w:rPr>
            </w:pPr>
            <w:r w:rsidRPr="00252675">
              <w:rPr>
                <w:b/>
                <w:bCs/>
                <w:color w:val="000000"/>
                <w:sz w:val="20"/>
                <w:szCs w:val="20"/>
              </w:rPr>
              <w:t> </w:t>
            </w:r>
          </w:p>
        </w:tc>
        <w:tc>
          <w:tcPr>
            <w:tcW w:w="447" w:type="pct"/>
            <w:tcBorders>
              <w:top w:val="nil"/>
              <w:left w:val="nil"/>
              <w:bottom w:val="single" w:sz="4" w:space="0" w:color="000000"/>
              <w:right w:val="single" w:sz="4" w:space="0" w:color="000000"/>
            </w:tcBorders>
            <w:shd w:val="clear" w:color="auto" w:fill="auto"/>
            <w:vAlign w:val="center"/>
            <w:hideMark/>
          </w:tcPr>
          <w:p w14:paraId="32B1AAF6" w14:textId="77777777" w:rsidR="00252675" w:rsidRPr="00252675" w:rsidRDefault="00252675" w:rsidP="00252675">
            <w:pPr>
              <w:ind w:firstLine="0"/>
              <w:jc w:val="right"/>
              <w:rPr>
                <w:b/>
                <w:bCs/>
                <w:color w:val="000000"/>
                <w:sz w:val="20"/>
                <w:szCs w:val="20"/>
              </w:rPr>
            </w:pPr>
            <w:r w:rsidRPr="00252675">
              <w:rPr>
                <w:b/>
                <w:bCs/>
                <w:color w:val="000000"/>
                <w:sz w:val="20"/>
                <w:szCs w:val="20"/>
              </w:rPr>
              <w:t>6 570 000,00</w:t>
            </w:r>
          </w:p>
        </w:tc>
      </w:tr>
      <w:tr w:rsidR="00187DCF" w:rsidRPr="00252675" w14:paraId="3528E6CF" w14:textId="77777777" w:rsidTr="00187DCF">
        <w:trPr>
          <w:gridAfter w:val="1"/>
          <w:wAfter w:w="11" w:type="pct"/>
          <w:trHeight w:val="222"/>
        </w:trPr>
        <w:tc>
          <w:tcPr>
            <w:tcW w:w="269" w:type="pct"/>
            <w:tcBorders>
              <w:top w:val="nil"/>
              <w:left w:val="nil"/>
              <w:bottom w:val="nil"/>
              <w:right w:val="nil"/>
            </w:tcBorders>
            <w:shd w:val="clear" w:color="auto" w:fill="auto"/>
            <w:noWrap/>
            <w:vAlign w:val="bottom"/>
            <w:hideMark/>
          </w:tcPr>
          <w:p w14:paraId="2A1E05A3" w14:textId="77777777" w:rsidR="00252675" w:rsidRPr="00252675" w:rsidRDefault="00252675" w:rsidP="00252675">
            <w:pPr>
              <w:ind w:firstLine="0"/>
              <w:jc w:val="right"/>
              <w:rPr>
                <w:b/>
                <w:bCs/>
                <w:color w:val="000000"/>
                <w:sz w:val="20"/>
                <w:szCs w:val="20"/>
              </w:rPr>
            </w:pPr>
          </w:p>
        </w:tc>
        <w:tc>
          <w:tcPr>
            <w:tcW w:w="891" w:type="pct"/>
            <w:tcBorders>
              <w:top w:val="nil"/>
              <w:left w:val="nil"/>
              <w:bottom w:val="nil"/>
              <w:right w:val="nil"/>
            </w:tcBorders>
            <w:shd w:val="clear" w:color="auto" w:fill="auto"/>
            <w:noWrap/>
            <w:vAlign w:val="bottom"/>
            <w:hideMark/>
          </w:tcPr>
          <w:p w14:paraId="5CCB0013" w14:textId="77777777" w:rsidR="00252675" w:rsidRPr="00252675" w:rsidRDefault="00252675" w:rsidP="00252675">
            <w:pPr>
              <w:ind w:firstLine="0"/>
              <w:jc w:val="left"/>
              <w:rPr>
                <w:sz w:val="20"/>
                <w:szCs w:val="20"/>
              </w:rPr>
            </w:pPr>
          </w:p>
        </w:tc>
        <w:tc>
          <w:tcPr>
            <w:tcW w:w="328" w:type="pct"/>
            <w:tcBorders>
              <w:top w:val="nil"/>
              <w:left w:val="nil"/>
              <w:bottom w:val="nil"/>
              <w:right w:val="nil"/>
            </w:tcBorders>
            <w:shd w:val="clear" w:color="auto" w:fill="auto"/>
            <w:noWrap/>
            <w:vAlign w:val="bottom"/>
            <w:hideMark/>
          </w:tcPr>
          <w:p w14:paraId="72CECC24" w14:textId="77777777" w:rsidR="00252675" w:rsidRPr="00252675" w:rsidRDefault="00252675" w:rsidP="00252675">
            <w:pPr>
              <w:ind w:firstLine="0"/>
              <w:jc w:val="left"/>
              <w:rPr>
                <w:sz w:val="20"/>
                <w:szCs w:val="20"/>
              </w:rPr>
            </w:pPr>
          </w:p>
        </w:tc>
        <w:tc>
          <w:tcPr>
            <w:tcW w:w="356" w:type="pct"/>
            <w:tcBorders>
              <w:top w:val="nil"/>
              <w:left w:val="nil"/>
              <w:bottom w:val="nil"/>
              <w:right w:val="nil"/>
            </w:tcBorders>
            <w:shd w:val="clear" w:color="auto" w:fill="auto"/>
            <w:noWrap/>
            <w:vAlign w:val="bottom"/>
            <w:hideMark/>
          </w:tcPr>
          <w:p w14:paraId="027A68DC" w14:textId="77777777" w:rsidR="00252675" w:rsidRPr="00252675" w:rsidRDefault="00252675" w:rsidP="00252675">
            <w:pPr>
              <w:ind w:firstLine="0"/>
              <w:jc w:val="left"/>
              <w:rPr>
                <w:sz w:val="20"/>
                <w:szCs w:val="20"/>
              </w:rPr>
            </w:pPr>
          </w:p>
        </w:tc>
        <w:tc>
          <w:tcPr>
            <w:tcW w:w="291" w:type="pct"/>
            <w:tcBorders>
              <w:top w:val="nil"/>
              <w:left w:val="nil"/>
              <w:bottom w:val="nil"/>
              <w:right w:val="nil"/>
            </w:tcBorders>
            <w:shd w:val="clear" w:color="auto" w:fill="auto"/>
            <w:noWrap/>
            <w:vAlign w:val="bottom"/>
            <w:hideMark/>
          </w:tcPr>
          <w:p w14:paraId="2D156311" w14:textId="77777777" w:rsidR="00252675" w:rsidRPr="00252675" w:rsidRDefault="00252675" w:rsidP="00252675">
            <w:pPr>
              <w:ind w:firstLine="0"/>
              <w:jc w:val="left"/>
              <w:rPr>
                <w:sz w:val="20"/>
                <w:szCs w:val="20"/>
              </w:rPr>
            </w:pPr>
          </w:p>
        </w:tc>
        <w:tc>
          <w:tcPr>
            <w:tcW w:w="410" w:type="pct"/>
            <w:tcBorders>
              <w:top w:val="nil"/>
              <w:left w:val="nil"/>
              <w:bottom w:val="nil"/>
              <w:right w:val="nil"/>
            </w:tcBorders>
            <w:shd w:val="clear" w:color="auto" w:fill="auto"/>
            <w:noWrap/>
            <w:vAlign w:val="bottom"/>
            <w:hideMark/>
          </w:tcPr>
          <w:p w14:paraId="28863DEC" w14:textId="77777777" w:rsidR="00252675" w:rsidRPr="00252675" w:rsidRDefault="00252675" w:rsidP="00252675">
            <w:pPr>
              <w:ind w:firstLine="0"/>
              <w:jc w:val="left"/>
              <w:rPr>
                <w:sz w:val="20"/>
                <w:szCs w:val="20"/>
              </w:rPr>
            </w:pPr>
          </w:p>
        </w:tc>
        <w:tc>
          <w:tcPr>
            <w:tcW w:w="408" w:type="pct"/>
            <w:tcBorders>
              <w:top w:val="nil"/>
              <w:left w:val="nil"/>
              <w:bottom w:val="nil"/>
              <w:right w:val="nil"/>
            </w:tcBorders>
            <w:shd w:val="clear" w:color="auto" w:fill="auto"/>
            <w:noWrap/>
            <w:vAlign w:val="bottom"/>
            <w:hideMark/>
          </w:tcPr>
          <w:p w14:paraId="410260CC" w14:textId="77777777" w:rsidR="00252675" w:rsidRPr="00252675" w:rsidRDefault="00252675" w:rsidP="00252675">
            <w:pPr>
              <w:ind w:firstLine="0"/>
              <w:jc w:val="left"/>
              <w:rPr>
                <w:sz w:val="20"/>
                <w:szCs w:val="20"/>
              </w:rPr>
            </w:pPr>
          </w:p>
        </w:tc>
        <w:tc>
          <w:tcPr>
            <w:tcW w:w="455" w:type="pct"/>
            <w:tcBorders>
              <w:top w:val="nil"/>
              <w:left w:val="nil"/>
              <w:bottom w:val="nil"/>
              <w:right w:val="nil"/>
            </w:tcBorders>
            <w:shd w:val="clear" w:color="auto" w:fill="auto"/>
            <w:noWrap/>
            <w:vAlign w:val="bottom"/>
            <w:hideMark/>
          </w:tcPr>
          <w:p w14:paraId="134858B0" w14:textId="77777777" w:rsidR="00252675" w:rsidRPr="00252675" w:rsidRDefault="00252675" w:rsidP="00252675">
            <w:pPr>
              <w:ind w:firstLine="0"/>
              <w:jc w:val="left"/>
              <w:rPr>
                <w:sz w:val="20"/>
                <w:szCs w:val="20"/>
              </w:rPr>
            </w:pPr>
          </w:p>
        </w:tc>
        <w:tc>
          <w:tcPr>
            <w:tcW w:w="399" w:type="pct"/>
            <w:tcBorders>
              <w:top w:val="nil"/>
              <w:left w:val="nil"/>
              <w:bottom w:val="nil"/>
              <w:right w:val="nil"/>
            </w:tcBorders>
            <w:shd w:val="clear" w:color="auto" w:fill="auto"/>
            <w:noWrap/>
            <w:vAlign w:val="bottom"/>
            <w:hideMark/>
          </w:tcPr>
          <w:p w14:paraId="597F24F6"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7DB9E713"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5FE2D1D1"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1B9819F7" w14:textId="77777777" w:rsidR="00252675" w:rsidRPr="00252675" w:rsidRDefault="00252675" w:rsidP="00252675">
            <w:pPr>
              <w:ind w:firstLine="0"/>
              <w:jc w:val="left"/>
              <w:rPr>
                <w:sz w:val="20"/>
                <w:szCs w:val="20"/>
              </w:rPr>
            </w:pPr>
          </w:p>
        </w:tc>
      </w:tr>
      <w:tr w:rsidR="00187DCF" w:rsidRPr="00252675" w14:paraId="0ACB2055" w14:textId="77777777" w:rsidTr="00187DCF">
        <w:trPr>
          <w:gridAfter w:val="1"/>
          <w:wAfter w:w="11" w:type="pct"/>
          <w:trHeight w:val="222"/>
        </w:trPr>
        <w:tc>
          <w:tcPr>
            <w:tcW w:w="269" w:type="pct"/>
            <w:tcBorders>
              <w:top w:val="nil"/>
              <w:left w:val="nil"/>
              <w:bottom w:val="nil"/>
              <w:right w:val="nil"/>
            </w:tcBorders>
            <w:shd w:val="clear" w:color="auto" w:fill="auto"/>
            <w:noWrap/>
            <w:vAlign w:val="bottom"/>
            <w:hideMark/>
          </w:tcPr>
          <w:p w14:paraId="7D2B5103" w14:textId="77777777" w:rsidR="00252675" w:rsidRPr="00252675" w:rsidRDefault="00252675" w:rsidP="00252675">
            <w:pPr>
              <w:ind w:firstLine="0"/>
              <w:jc w:val="left"/>
              <w:rPr>
                <w:sz w:val="20"/>
                <w:szCs w:val="20"/>
              </w:rPr>
            </w:pPr>
          </w:p>
        </w:tc>
        <w:tc>
          <w:tcPr>
            <w:tcW w:w="891" w:type="pct"/>
            <w:tcBorders>
              <w:top w:val="nil"/>
              <w:left w:val="nil"/>
              <w:bottom w:val="nil"/>
              <w:right w:val="nil"/>
            </w:tcBorders>
            <w:shd w:val="clear" w:color="auto" w:fill="auto"/>
            <w:noWrap/>
            <w:vAlign w:val="bottom"/>
            <w:hideMark/>
          </w:tcPr>
          <w:p w14:paraId="01CFDAAD" w14:textId="77777777" w:rsidR="00252675" w:rsidRPr="00252675" w:rsidRDefault="00252675" w:rsidP="00252675">
            <w:pPr>
              <w:ind w:firstLine="0"/>
              <w:jc w:val="left"/>
              <w:rPr>
                <w:sz w:val="20"/>
                <w:szCs w:val="20"/>
              </w:rPr>
            </w:pPr>
          </w:p>
        </w:tc>
        <w:tc>
          <w:tcPr>
            <w:tcW w:w="328" w:type="pct"/>
            <w:tcBorders>
              <w:top w:val="nil"/>
              <w:left w:val="nil"/>
              <w:bottom w:val="nil"/>
              <w:right w:val="nil"/>
            </w:tcBorders>
            <w:shd w:val="clear" w:color="auto" w:fill="auto"/>
            <w:noWrap/>
            <w:vAlign w:val="bottom"/>
            <w:hideMark/>
          </w:tcPr>
          <w:p w14:paraId="1E04D89F" w14:textId="77777777" w:rsidR="00252675" w:rsidRPr="00252675" w:rsidRDefault="00252675" w:rsidP="00252675">
            <w:pPr>
              <w:ind w:firstLine="0"/>
              <w:jc w:val="left"/>
              <w:rPr>
                <w:sz w:val="20"/>
                <w:szCs w:val="20"/>
              </w:rPr>
            </w:pPr>
          </w:p>
        </w:tc>
        <w:tc>
          <w:tcPr>
            <w:tcW w:w="356" w:type="pct"/>
            <w:tcBorders>
              <w:top w:val="nil"/>
              <w:left w:val="nil"/>
              <w:bottom w:val="nil"/>
              <w:right w:val="nil"/>
            </w:tcBorders>
            <w:shd w:val="clear" w:color="auto" w:fill="auto"/>
            <w:noWrap/>
            <w:vAlign w:val="bottom"/>
            <w:hideMark/>
          </w:tcPr>
          <w:p w14:paraId="3AF700F7" w14:textId="77777777" w:rsidR="00252675" w:rsidRPr="00252675" w:rsidRDefault="00252675" w:rsidP="00252675">
            <w:pPr>
              <w:ind w:firstLine="0"/>
              <w:jc w:val="left"/>
              <w:rPr>
                <w:sz w:val="20"/>
                <w:szCs w:val="20"/>
              </w:rPr>
            </w:pPr>
          </w:p>
        </w:tc>
        <w:tc>
          <w:tcPr>
            <w:tcW w:w="291" w:type="pct"/>
            <w:tcBorders>
              <w:top w:val="nil"/>
              <w:left w:val="nil"/>
              <w:bottom w:val="nil"/>
              <w:right w:val="nil"/>
            </w:tcBorders>
            <w:shd w:val="clear" w:color="auto" w:fill="auto"/>
            <w:noWrap/>
            <w:vAlign w:val="bottom"/>
            <w:hideMark/>
          </w:tcPr>
          <w:p w14:paraId="30ECCCDD" w14:textId="77777777" w:rsidR="00252675" w:rsidRPr="00252675" w:rsidRDefault="00252675" w:rsidP="00252675">
            <w:pPr>
              <w:ind w:firstLine="0"/>
              <w:jc w:val="left"/>
              <w:rPr>
                <w:sz w:val="20"/>
                <w:szCs w:val="20"/>
              </w:rPr>
            </w:pPr>
          </w:p>
        </w:tc>
        <w:tc>
          <w:tcPr>
            <w:tcW w:w="410" w:type="pct"/>
            <w:tcBorders>
              <w:top w:val="nil"/>
              <w:left w:val="nil"/>
              <w:bottom w:val="nil"/>
              <w:right w:val="nil"/>
            </w:tcBorders>
            <w:shd w:val="clear" w:color="auto" w:fill="auto"/>
            <w:noWrap/>
            <w:vAlign w:val="bottom"/>
            <w:hideMark/>
          </w:tcPr>
          <w:p w14:paraId="077BF88E" w14:textId="77777777" w:rsidR="00252675" w:rsidRPr="00252675" w:rsidRDefault="00252675" w:rsidP="00252675">
            <w:pPr>
              <w:ind w:firstLine="0"/>
              <w:jc w:val="left"/>
              <w:rPr>
                <w:sz w:val="20"/>
                <w:szCs w:val="20"/>
              </w:rPr>
            </w:pPr>
          </w:p>
        </w:tc>
        <w:tc>
          <w:tcPr>
            <w:tcW w:w="408" w:type="pct"/>
            <w:tcBorders>
              <w:top w:val="nil"/>
              <w:left w:val="nil"/>
              <w:bottom w:val="nil"/>
              <w:right w:val="nil"/>
            </w:tcBorders>
            <w:shd w:val="clear" w:color="auto" w:fill="auto"/>
            <w:noWrap/>
            <w:vAlign w:val="bottom"/>
            <w:hideMark/>
          </w:tcPr>
          <w:p w14:paraId="39FB10E4" w14:textId="77777777" w:rsidR="00252675" w:rsidRPr="00252675" w:rsidRDefault="00252675" w:rsidP="00252675">
            <w:pPr>
              <w:ind w:firstLine="0"/>
              <w:jc w:val="left"/>
              <w:rPr>
                <w:sz w:val="20"/>
                <w:szCs w:val="20"/>
              </w:rPr>
            </w:pPr>
          </w:p>
        </w:tc>
        <w:tc>
          <w:tcPr>
            <w:tcW w:w="455" w:type="pct"/>
            <w:tcBorders>
              <w:top w:val="nil"/>
              <w:left w:val="nil"/>
              <w:bottom w:val="nil"/>
              <w:right w:val="nil"/>
            </w:tcBorders>
            <w:shd w:val="clear" w:color="auto" w:fill="auto"/>
            <w:noWrap/>
            <w:vAlign w:val="bottom"/>
            <w:hideMark/>
          </w:tcPr>
          <w:p w14:paraId="6FC3C23B" w14:textId="77777777" w:rsidR="00252675" w:rsidRPr="00252675" w:rsidRDefault="00252675" w:rsidP="00252675">
            <w:pPr>
              <w:ind w:firstLine="0"/>
              <w:jc w:val="left"/>
              <w:rPr>
                <w:sz w:val="20"/>
                <w:szCs w:val="20"/>
              </w:rPr>
            </w:pPr>
          </w:p>
        </w:tc>
        <w:tc>
          <w:tcPr>
            <w:tcW w:w="399" w:type="pct"/>
            <w:tcBorders>
              <w:top w:val="nil"/>
              <w:left w:val="nil"/>
              <w:bottom w:val="nil"/>
              <w:right w:val="nil"/>
            </w:tcBorders>
            <w:shd w:val="clear" w:color="auto" w:fill="auto"/>
            <w:noWrap/>
            <w:vAlign w:val="bottom"/>
            <w:hideMark/>
          </w:tcPr>
          <w:p w14:paraId="43FF559B"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35840509"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24C1E910"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3E16C688" w14:textId="77777777" w:rsidR="00252675" w:rsidRPr="00252675" w:rsidRDefault="00252675" w:rsidP="00252675">
            <w:pPr>
              <w:ind w:firstLine="0"/>
              <w:jc w:val="left"/>
              <w:rPr>
                <w:sz w:val="20"/>
                <w:szCs w:val="20"/>
              </w:rPr>
            </w:pPr>
          </w:p>
        </w:tc>
      </w:tr>
      <w:tr w:rsidR="00187DCF" w:rsidRPr="00252675" w14:paraId="229EC6DA" w14:textId="77777777" w:rsidTr="00187DCF">
        <w:trPr>
          <w:gridAfter w:val="1"/>
          <w:wAfter w:w="11" w:type="pct"/>
          <w:trHeight w:val="300"/>
        </w:trPr>
        <w:tc>
          <w:tcPr>
            <w:tcW w:w="1160" w:type="pct"/>
            <w:gridSpan w:val="2"/>
            <w:tcBorders>
              <w:top w:val="nil"/>
              <w:left w:val="nil"/>
              <w:bottom w:val="nil"/>
              <w:right w:val="nil"/>
            </w:tcBorders>
            <w:shd w:val="clear" w:color="auto" w:fill="auto"/>
            <w:noWrap/>
            <w:vAlign w:val="bottom"/>
            <w:hideMark/>
          </w:tcPr>
          <w:p w14:paraId="2DA416F3" w14:textId="77777777" w:rsidR="00252675" w:rsidRPr="00252675" w:rsidRDefault="00252675" w:rsidP="00252675">
            <w:pPr>
              <w:ind w:firstLine="0"/>
              <w:jc w:val="left"/>
              <w:rPr>
                <w:b/>
                <w:bCs/>
                <w:sz w:val="22"/>
                <w:szCs w:val="22"/>
              </w:rPr>
            </w:pPr>
            <w:r w:rsidRPr="00252675">
              <w:rPr>
                <w:b/>
                <w:bCs/>
                <w:sz w:val="22"/>
                <w:szCs w:val="22"/>
              </w:rPr>
              <w:t>Источники ценовой информации:</w:t>
            </w:r>
          </w:p>
        </w:tc>
        <w:tc>
          <w:tcPr>
            <w:tcW w:w="328" w:type="pct"/>
            <w:tcBorders>
              <w:top w:val="nil"/>
              <w:left w:val="nil"/>
              <w:bottom w:val="nil"/>
              <w:right w:val="nil"/>
            </w:tcBorders>
            <w:shd w:val="clear" w:color="auto" w:fill="auto"/>
            <w:noWrap/>
            <w:vAlign w:val="bottom"/>
            <w:hideMark/>
          </w:tcPr>
          <w:p w14:paraId="0B11395A" w14:textId="77777777" w:rsidR="00252675" w:rsidRPr="00252675" w:rsidRDefault="00252675" w:rsidP="00252675">
            <w:pPr>
              <w:ind w:firstLine="0"/>
              <w:jc w:val="left"/>
              <w:rPr>
                <w:b/>
                <w:bCs/>
                <w:sz w:val="22"/>
                <w:szCs w:val="22"/>
              </w:rPr>
            </w:pPr>
          </w:p>
        </w:tc>
        <w:tc>
          <w:tcPr>
            <w:tcW w:w="356" w:type="pct"/>
            <w:tcBorders>
              <w:top w:val="nil"/>
              <w:left w:val="nil"/>
              <w:bottom w:val="nil"/>
              <w:right w:val="nil"/>
            </w:tcBorders>
            <w:shd w:val="clear" w:color="auto" w:fill="auto"/>
            <w:noWrap/>
            <w:vAlign w:val="bottom"/>
            <w:hideMark/>
          </w:tcPr>
          <w:p w14:paraId="2ED1F9B4" w14:textId="77777777" w:rsidR="00252675" w:rsidRPr="00252675" w:rsidRDefault="00252675" w:rsidP="00252675">
            <w:pPr>
              <w:ind w:firstLine="0"/>
              <w:jc w:val="left"/>
              <w:rPr>
                <w:sz w:val="20"/>
                <w:szCs w:val="20"/>
              </w:rPr>
            </w:pPr>
          </w:p>
        </w:tc>
        <w:tc>
          <w:tcPr>
            <w:tcW w:w="291" w:type="pct"/>
            <w:tcBorders>
              <w:top w:val="nil"/>
              <w:left w:val="nil"/>
              <w:bottom w:val="nil"/>
              <w:right w:val="nil"/>
            </w:tcBorders>
            <w:shd w:val="clear" w:color="auto" w:fill="auto"/>
            <w:noWrap/>
            <w:vAlign w:val="bottom"/>
            <w:hideMark/>
          </w:tcPr>
          <w:p w14:paraId="48653739" w14:textId="77777777" w:rsidR="00252675" w:rsidRPr="00252675" w:rsidRDefault="00252675" w:rsidP="00252675">
            <w:pPr>
              <w:ind w:firstLine="0"/>
              <w:jc w:val="left"/>
              <w:rPr>
                <w:sz w:val="20"/>
                <w:szCs w:val="20"/>
              </w:rPr>
            </w:pPr>
          </w:p>
        </w:tc>
        <w:tc>
          <w:tcPr>
            <w:tcW w:w="410" w:type="pct"/>
            <w:tcBorders>
              <w:top w:val="nil"/>
              <w:left w:val="nil"/>
              <w:bottom w:val="nil"/>
              <w:right w:val="nil"/>
            </w:tcBorders>
            <w:shd w:val="clear" w:color="auto" w:fill="auto"/>
            <w:noWrap/>
            <w:vAlign w:val="bottom"/>
            <w:hideMark/>
          </w:tcPr>
          <w:p w14:paraId="6E044E76" w14:textId="77777777" w:rsidR="00252675" w:rsidRPr="00252675" w:rsidRDefault="00252675" w:rsidP="00252675">
            <w:pPr>
              <w:ind w:firstLine="0"/>
              <w:jc w:val="left"/>
              <w:rPr>
                <w:sz w:val="20"/>
                <w:szCs w:val="20"/>
              </w:rPr>
            </w:pPr>
          </w:p>
        </w:tc>
        <w:tc>
          <w:tcPr>
            <w:tcW w:w="408" w:type="pct"/>
            <w:tcBorders>
              <w:top w:val="nil"/>
              <w:left w:val="nil"/>
              <w:bottom w:val="nil"/>
              <w:right w:val="nil"/>
            </w:tcBorders>
            <w:shd w:val="clear" w:color="auto" w:fill="auto"/>
            <w:noWrap/>
            <w:vAlign w:val="bottom"/>
            <w:hideMark/>
          </w:tcPr>
          <w:p w14:paraId="3642ED05" w14:textId="77777777" w:rsidR="00252675" w:rsidRPr="00252675" w:rsidRDefault="00252675" w:rsidP="00252675">
            <w:pPr>
              <w:ind w:firstLine="0"/>
              <w:jc w:val="left"/>
              <w:rPr>
                <w:sz w:val="20"/>
                <w:szCs w:val="20"/>
              </w:rPr>
            </w:pPr>
          </w:p>
        </w:tc>
        <w:tc>
          <w:tcPr>
            <w:tcW w:w="455" w:type="pct"/>
            <w:tcBorders>
              <w:top w:val="nil"/>
              <w:left w:val="nil"/>
              <w:bottom w:val="nil"/>
              <w:right w:val="nil"/>
            </w:tcBorders>
            <w:shd w:val="clear" w:color="auto" w:fill="auto"/>
            <w:noWrap/>
            <w:vAlign w:val="bottom"/>
            <w:hideMark/>
          </w:tcPr>
          <w:p w14:paraId="408B9EE0" w14:textId="77777777" w:rsidR="00252675" w:rsidRPr="00252675" w:rsidRDefault="00252675" w:rsidP="00252675">
            <w:pPr>
              <w:ind w:firstLine="0"/>
              <w:jc w:val="left"/>
              <w:rPr>
                <w:sz w:val="20"/>
                <w:szCs w:val="20"/>
              </w:rPr>
            </w:pPr>
          </w:p>
        </w:tc>
        <w:tc>
          <w:tcPr>
            <w:tcW w:w="399" w:type="pct"/>
            <w:tcBorders>
              <w:top w:val="nil"/>
              <w:left w:val="nil"/>
              <w:bottom w:val="nil"/>
              <w:right w:val="nil"/>
            </w:tcBorders>
            <w:shd w:val="clear" w:color="auto" w:fill="auto"/>
            <w:noWrap/>
            <w:vAlign w:val="bottom"/>
            <w:hideMark/>
          </w:tcPr>
          <w:p w14:paraId="475ACAD8"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0124A7A6"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76404359"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1A64A871" w14:textId="77777777" w:rsidR="00252675" w:rsidRPr="00252675" w:rsidRDefault="00252675" w:rsidP="00252675">
            <w:pPr>
              <w:ind w:firstLine="0"/>
              <w:jc w:val="left"/>
              <w:rPr>
                <w:sz w:val="20"/>
                <w:szCs w:val="20"/>
              </w:rPr>
            </w:pPr>
          </w:p>
        </w:tc>
      </w:tr>
      <w:tr w:rsidR="00187DCF" w:rsidRPr="00252675" w14:paraId="2ED03AE8" w14:textId="77777777" w:rsidTr="00187DCF">
        <w:trPr>
          <w:gridAfter w:val="1"/>
          <w:wAfter w:w="11" w:type="pct"/>
          <w:trHeight w:val="762"/>
        </w:trPr>
        <w:tc>
          <w:tcPr>
            <w:tcW w:w="269"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403F5DD4" w14:textId="77777777" w:rsidR="00252675" w:rsidRPr="00252675" w:rsidRDefault="00252675" w:rsidP="00252675">
            <w:pPr>
              <w:ind w:firstLine="0"/>
              <w:jc w:val="center"/>
              <w:rPr>
                <w:sz w:val="20"/>
                <w:szCs w:val="20"/>
              </w:rPr>
            </w:pPr>
            <w:r w:rsidRPr="00252675">
              <w:rPr>
                <w:sz w:val="20"/>
                <w:szCs w:val="20"/>
              </w:rPr>
              <w:t>№</w:t>
            </w:r>
          </w:p>
        </w:tc>
        <w:tc>
          <w:tcPr>
            <w:tcW w:w="1866" w:type="pct"/>
            <w:gridSpan w:val="4"/>
            <w:tcBorders>
              <w:top w:val="single" w:sz="4" w:space="0" w:color="000000"/>
              <w:left w:val="nil"/>
              <w:bottom w:val="single" w:sz="4" w:space="0" w:color="000000"/>
              <w:right w:val="single" w:sz="4" w:space="0" w:color="000000"/>
            </w:tcBorders>
            <w:shd w:val="clear" w:color="000000" w:fill="E4E4E4"/>
            <w:vAlign w:val="bottom"/>
            <w:hideMark/>
          </w:tcPr>
          <w:p w14:paraId="59FF768A" w14:textId="77777777" w:rsidR="00252675" w:rsidRPr="00252675" w:rsidRDefault="00252675" w:rsidP="00252675">
            <w:pPr>
              <w:ind w:firstLine="0"/>
              <w:jc w:val="center"/>
              <w:rPr>
                <w:sz w:val="20"/>
                <w:szCs w:val="20"/>
              </w:rPr>
            </w:pPr>
            <w:r w:rsidRPr="00252675">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1273" w:type="pct"/>
            <w:gridSpan w:val="3"/>
            <w:tcBorders>
              <w:top w:val="single" w:sz="4" w:space="0" w:color="000000"/>
              <w:left w:val="nil"/>
              <w:bottom w:val="single" w:sz="4" w:space="0" w:color="000000"/>
              <w:right w:val="single" w:sz="4" w:space="0" w:color="000000"/>
            </w:tcBorders>
            <w:shd w:val="clear" w:color="000000" w:fill="E4E4E4"/>
            <w:noWrap/>
            <w:vAlign w:val="center"/>
            <w:hideMark/>
          </w:tcPr>
          <w:p w14:paraId="387374E2" w14:textId="77777777" w:rsidR="00252675" w:rsidRPr="00252675" w:rsidRDefault="00252675" w:rsidP="00252675">
            <w:pPr>
              <w:ind w:firstLine="0"/>
              <w:jc w:val="center"/>
              <w:rPr>
                <w:sz w:val="20"/>
                <w:szCs w:val="20"/>
              </w:rPr>
            </w:pPr>
            <w:r w:rsidRPr="00252675">
              <w:rPr>
                <w:sz w:val="20"/>
                <w:szCs w:val="20"/>
              </w:rPr>
              <w:t>Срок действия</w:t>
            </w:r>
          </w:p>
        </w:tc>
        <w:tc>
          <w:tcPr>
            <w:tcW w:w="399" w:type="pct"/>
            <w:tcBorders>
              <w:top w:val="nil"/>
              <w:left w:val="nil"/>
              <w:bottom w:val="nil"/>
              <w:right w:val="nil"/>
            </w:tcBorders>
            <w:shd w:val="clear" w:color="auto" w:fill="auto"/>
            <w:noWrap/>
            <w:vAlign w:val="bottom"/>
            <w:hideMark/>
          </w:tcPr>
          <w:p w14:paraId="4057D965" w14:textId="77777777" w:rsidR="00252675" w:rsidRPr="00252675" w:rsidRDefault="00252675" w:rsidP="00252675">
            <w:pPr>
              <w:ind w:firstLine="0"/>
              <w:jc w:val="center"/>
              <w:rPr>
                <w:sz w:val="20"/>
                <w:szCs w:val="20"/>
              </w:rPr>
            </w:pPr>
          </w:p>
        </w:tc>
        <w:tc>
          <w:tcPr>
            <w:tcW w:w="361" w:type="pct"/>
            <w:tcBorders>
              <w:top w:val="nil"/>
              <w:left w:val="nil"/>
              <w:bottom w:val="nil"/>
              <w:right w:val="nil"/>
            </w:tcBorders>
            <w:shd w:val="clear" w:color="auto" w:fill="auto"/>
            <w:noWrap/>
            <w:vAlign w:val="bottom"/>
            <w:hideMark/>
          </w:tcPr>
          <w:p w14:paraId="053BC2A0" w14:textId="77777777" w:rsidR="00252675" w:rsidRPr="00252675" w:rsidRDefault="00252675" w:rsidP="00252675">
            <w:pPr>
              <w:ind w:firstLine="0"/>
              <w:jc w:val="left"/>
              <w:rPr>
                <w:sz w:val="20"/>
                <w:szCs w:val="20"/>
              </w:rPr>
            </w:pPr>
            <w:bookmarkStart w:id="1" w:name="_GoBack"/>
            <w:bookmarkEnd w:id="1"/>
          </w:p>
        </w:tc>
        <w:tc>
          <w:tcPr>
            <w:tcW w:w="374" w:type="pct"/>
            <w:tcBorders>
              <w:top w:val="nil"/>
              <w:left w:val="nil"/>
              <w:bottom w:val="nil"/>
              <w:right w:val="nil"/>
            </w:tcBorders>
            <w:shd w:val="clear" w:color="auto" w:fill="auto"/>
            <w:noWrap/>
            <w:vAlign w:val="bottom"/>
            <w:hideMark/>
          </w:tcPr>
          <w:p w14:paraId="60A619D0"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5F392869" w14:textId="77777777" w:rsidR="00252675" w:rsidRPr="00252675" w:rsidRDefault="00252675" w:rsidP="00252675">
            <w:pPr>
              <w:ind w:firstLine="0"/>
              <w:jc w:val="left"/>
              <w:rPr>
                <w:sz w:val="20"/>
                <w:szCs w:val="20"/>
              </w:rPr>
            </w:pPr>
          </w:p>
        </w:tc>
      </w:tr>
      <w:tr w:rsidR="00187DCF" w:rsidRPr="00252675" w14:paraId="24E8BDDF" w14:textId="77777777" w:rsidTr="00187DCF">
        <w:trPr>
          <w:gridAfter w:val="1"/>
          <w:wAfter w:w="11" w:type="pct"/>
          <w:trHeight w:val="259"/>
        </w:trPr>
        <w:tc>
          <w:tcPr>
            <w:tcW w:w="269" w:type="pct"/>
            <w:tcBorders>
              <w:top w:val="nil"/>
              <w:left w:val="single" w:sz="4" w:space="0" w:color="000000"/>
              <w:bottom w:val="single" w:sz="4" w:space="0" w:color="000000"/>
              <w:right w:val="single" w:sz="4" w:space="0" w:color="000000"/>
            </w:tcBorders>
            <w:shd w:val="clear" w:color="auto" w:fill="auto"/>
            <w:noWrap/>
            <w:vAlign w:val="bottom"/>
            <w:hideMark/>
          </w:tcPr>
          <w:p w14:paraId="0570AC4E" w14:textId="77777777" w:rsidR="00252675" w:rsidRPr="00252675" w:rsidRDefault="00252675" w:rsidP="00252675">
            <w:pPr>
              <w:ind w:firstLine="0"/>
              <w:jc w:val="left"/>
              <w:rPr>
                <w:sz w:val="20"/>
                <w:szCs w:val="20"/>
              </w:rPr>
            </w:pPr>
            <w:r w:rsidRPr="00252675">
              <w:rPr>
                <w:sz w:val="20"/>
                <w:szCs w:val="20"/>
              </w:rPr>
              <w:t>1</w:t>
            </w:r>
          </w:p>
        </w:tc>
        <w:tc>
          <w:tcPr>
            <w:tcW w:w="1866" w:type="pct"/>
            <w:gridSpan w:val="4"/>
            <w:tcBorders>
              <w:top w:val="single" w:sz="4" w:space="0" w:color="000000"/>
              <w:left w:val="nil"/>
              <w:bottom w:val="single" w:sz="4" w:space="0" w:color="000000"/>
              <w:right w:val="single" w:sz="4" w:space="0" w:color="000000"/>
            </w:tcBorders>
            <w:shd w:val="clear" w:color="auto" w:fill="auto"/>
            <w:vAlign w:val="bottom"/>
            <w:hideMark/>
          </w:tcPr>
          <w:p w14:paraId="4E8ECD87" w14:textId="77777777" w:rsidR="00252675" w:rsidRPr="00252675" w:rsidRDefault="00252675" w:rsidP="00252675">
            <w:pPr>
              <w:ind w:firstLine="0"/>
              <w:jc w:val="left"/>
              <w:rPr>
                <w:sz w:val="20"/>
                <w:szCs w:val="20"/>
              </w:rPr>
            </w:pPr>
            <w:r w:rsidRPr="00252675">
              <w:rPr>
                <w:sz w:val="20"/>
                <w:szCs w:val="20"/>
              </w:rPr>
              <w:t>Ф58-11/1197 от 22.05.2026</w:t>
            </w:r>
          </w:p>
        </w:tc>
        <w:tc>
          <w:tcPr>
            <w:tcW w:w="1273" w:type="pct"/>
            <w:gridSpan w:val="3"/>
            <w:tcBorders>
              <w:top w:val="single" w:sz="4" w:space="0" w:color="000000"/>
              <w:left w:val="nil"/>
              <w:bottom w:val="single" w:sz="4" w:space="0" w:color="000000"/>
              <w:right w:val="single" w:sz="4" w:space="0" w:color="000000"/>
            </w:tcBorders>
            <w:shd w:val="clear" w:color="auto" w:fill="auto"/>
            <w:vAlign w:val="bottom"/>
            <w:hideMark/>
          </w:tcPr>
          <w:p w14:paraId="576F9FCA" w14:textId="77777777" w:rsidR="00252675" w:rsidRPr="00252675" w:rsidRDefault="00252675" w:rsidP="00252675">
            <w:pPr>
              <w:ind w:firstLine="0"/>
              <w:jc w:val="left"/>
              <w:rPr>
                <w:sz w:val="20"/>
                <w:szCs w:val="20"/>
              </w:rPr>
            </w:pPr>
            <w:r w:rsidRPr="00252675">
              <w:rPr>
                <w:sz w:val="20"/>
                <w:szCs w:val="20"/>
              </w:rPr>
              <w:t>31.12.2026</w:t>
            </w:r>
          </w:p>
        </w:tc>
        <w:tc>
          <w:tcPr>
            <w:tcW w:w="399" w:type="pct"/>
            <w:tcBorders>
              <w:top w:val="nil"/>
              <w:left w:val="nil"/>
              <w:bottom w:val="nil"/>
              <w:right w:val="nil"/>
            </w:tcBorders>
            <w:shd w:val="clear" w:color="auto" w:fill="auto"/>
            <w:noWrap/>
            <w:vAlign w:val="bottom"/>
            <w:hideMark/>
          </w:tcPr>
          <w:p w14:paraId="7051E9DD"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1185A931"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4FB8717A"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71E62365" w14:textId="77777777" w:rsidR="00252675" w:rsidRPr="00252675" w:rsidRDefault="00252675" w:rsidP="00252675">
            <w:pPr>
              <w:ind w:firstLine="0"/>
              <w:jc w:val="left"/>
              <w:rPr>
                <w:sz w:val="20"/>
                <w:szCs w:val="20"/>
              </w:rPr>
            </w:pPr>
          </w:p>
        </w:tc>
      </w:tr>
      <w:tr w:rsidR="00187DCF" w:rsidRPr="00252675" w14:paraId="399063DF" w14:textId="77777777" w:rsidTr="00187DCF">
        <w:trPr>
          <w:gridAfter w:val="1"/>
          <w:wAfter w:w="11" w:type="pct"/>
          <w:trHeight w:val="259"/>
        </w:trPr>
        <w:tc>
          <w:tcPr>
            <w:tcW w:w="269" w:type="pct"/>
            <w:tcBorders>
              <w:top w:val="nil"/>
              <w:left w:val="single" w:sz="4" w:space="0" w:color="000000"/>
              <w:bottom w:val="single" w:sz="4" w:space="0" w:color="000000"/>
              <w:right w:val="single" w:sz="4" w:space="0" w:color="000000"/>
            </w:tcBorders>
            <w:shd w:val="clear" w:color="auto" w:fill="auto"/>
            <w:noWrap/>
            <w:vAlign w:val="bottom"/>
            <w:hideMark/>
          </w:tcPr>
          <w:p w14:paraId="0FC8E84F" w14:textId="77777777" w:rsidR="00252675" w:rsidRPr="00252675" w:rsidRDefault="00252675" w:rsidP="00252675">
            <w:pPr>
              <w:ind w:firstLine="0"/>
              <w:jc w:val="left"/>
              <w:rPr>
                <w:sz w:val="20"/>
                <w:szCs w:val="20"/>
              </w:rPr>
            </w:pPr>
            <w:r w:rsidRPr="00252675">
              <w:rPr>
                <w:sz w:val="20"/>
                <w:szCs w:val="20"/>
              </w:rPr>
              <w:t>2</w:t>
            </w:r>
          </w:p>
        </w:tc>
        <w:tc>
          <w:tcPr>
            <w:tcW w:w="1866" w:type="pct"/>
            <w:gridSpan w:val="4"/>
            <w:tcBorders>
              <w:top w:val="single" w:sz="4" w:space="0" w:color="000000"/>
              <w:left w:val="nil"/>
              <w:bottom w:val="single" w:sz="4" w:space="0" w:color="000000"/>
              <w:right w:val="single" w:sz="4" w:space="0" w:color="000000"/>
            </w:tcBorders>
            <w:shd w:val="clear" w:color="auto" w:fill="auto"/>
            <w:vAlign w:val="bottom"/>
            <w:hideMark/>
          </w:tcPr>
          <w:p w14:paraId="2984DF70" w14:textId="77777777" w:rsidR="00252675" w:rsidRPr="00252675" w:rsidRDefault="00252675" w:rsidP="00252675">
            <w:pPr>
              <w:ind w:firstLine="0"/>
              <w:jc w:val="left"/>
              <w:rPr>
                <w:sz w:val="20"/>
                <w:szCs w:val="20"/>
              </w:rPr>
            </w:pPr>
            <w:r w:rsidRPr="00252675">
              <w:rPr>
                <w:sz w:val="20"/>
                <w:szCs w:val="20"/>
              </w:rPr>
              <w:t>Ф58-11/1178 от 21.05.2026</w:t>
            </w:r>
          </w:p>
        </w:tc>
        <w:tc>
          <w:tcPr>
            <w:tcW w:w="1273" w:type="pct"/>
            <w:gridSpan w:val="3"/>
            <w:tcBorders>
              <w:top w:val="single" w:sz="4" w:space="0" w:color="000000"/>
              <w:left w:val="nil"/>
              <w:bottom w:val="single" w:sz="4" w:space="0" w:color="000000"/>
              <w:right w:val="single" w:sz="4" w:space="0" w:color="000000"/>
            </w:tcBorders>
            <w:shd w:val="clear" w:color="auto" w:fill="auto"/>
            <w:vAlign w:val="bottom"/>
            <w:hideMark/>
          </w:tcPr>
          <w:p w14:paraId="697CA320" w14:textId="77777777" w:rsidR="00252675" w:rsidRPr="00252675" w:rsidRDefault="00252675" w:rsidP="00252675">
            <w:pPr>
              <w:ind w:firstLine="0"/>
              <w:jc w:val="left"/>
              <w:rPr>
                <w:sz w:val="20"/>
                <w:szCs w:val="20"/>
              </w:rPr>
            </w:pPr>
            <w:r w:rsidRPr="00252675">
              <w:rPr>
                <w:sz w:val="20"/>
                <w:szCs w:val="20"/>
              </w:rPr>
              <w:t>01.12.2026</w:t>
            </w:r>
          </w:p>
        </w:tc>
        <w:tc>
          <w:tcPr>
            <w:tcW w:w="399" w:type="pct"/>
            <w:tcBorders>
              <w:top w:val="nil"/>
              <w:left w:val="nil"/>
              <w:bottom w:val="nil"/>
              <w:right w:val="nil"/>
            </w:tcBorders>
            <w:shd w:val="clear" w:color="auto" w:fill="auto"/>
            <w:noWrap/>
            <w:vAlign w:val="bottom"/>
            <w:hideMark/>
          </w:tcPr>
          <w:p w14:paraId="6D8B01DA"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08D2F25F"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1FA8E8D3"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2DF8B6FA" w14:textId="77777777" w:rsidR="00252675" w:rsidRPr="00252675" w:rsidRDefault="00252675" w:rsidP="00252675">
            <w:pPr>
              <w:ind w:firstLine="0"/>
              <w:jc w:val="left"/>
              <w:rPr>
                <w:sz w:val="20"/>
                <w:szCs w:val="20"/>
              </w:rPr>
            </w:pPr>
          </w:p>
        </w:tc>
      </w:tr>
      <w:tr w:rsidR="00187DCF" w:rsidRPr="00252675" w14:paraId="0D384466" w14:textId="77777777" w:rsidTr="00187DCF">
        <w:trPr>
          <w:gridAfter w:val="1"/>
          <w:wAfter w:w="11" w:type="pct"/>
          <w:trHeight w:val="259"/>
        </w:trPr>
        <w:tc>
          <w:tcPr>
            <w:tcW w:w="269" w:type="pct"/>
            <w:tcBorders>
              <w:top w:val="nil"/>
              <w:left w:val="single" w:sz="4" w:space="0" w:color="000000"/>
              <w:bottom w:val="single" w:sz="4" w:space="0" w:color="000000"/>
              <w:right w:val="single" w:sz="4" w:space="0" w:color="000000"/>
            </w:tcBorders>
            <w:shd w:val="clear" w:color="auto" w:fill="auto"/>
            <w:noWrap/>
            <w:vAlign w:val="bottom"/>
            <w:hideMark/>
          </w:tcPr>
          <w:p w14:paraId="73542DB0" w14:textId="77777777" w:rsidR="00252675" w:rsidRPr="00252675" w:rsidRDefault="00252675" w:rsidP="00252675">
            <w:pPr>
              <w:ind w:firstLine="0"/>
              <w:jc w:val="left"/>
              <w:rPr>
                <w:sz w:val="20"/>
                <w:szCs w:val="20"/>
              </w:rPr>
            </w:pPr>
            <w:r w:rsidRPr="00252675">
              <w:rPr>
                <w:sz w:val="20"/>
                <w:szCs w:val="20"/>
              </w:rPr>
              <w:t>3</w:t>
            </w:r>
          </w:p>
        </w:tc>
        <w:tc>
          <w:tcPr>
            <w:tcW w:w="1866" w:type="pct"/>
            <w:gridSpan w:val="4"/>
            <w:tcBorders>
              <w:top w:val="single" w:sz="4" w:space="0" w:color="000000"/>
              <w:left w:val="nil"/>
              <w:bottom w:val="single" w:sz="4" w:space="0" w:color="000000"/>
              <w:right w:val="single" w:sz="4" w:space="0" w:color="000000"/>
            </w:tcBorders>
            <w:shd w:val="clear" w:color="auto" w:fill="auto"/>
            <w:vAlign w:val="bottom"/>
            <w:hideMark/>
          </w:tcPr>
          <w:p w14:paraId="7F69A44E" w14:textId="77777777" w:rsidR="00252675" w:rsidRPr="00252675" w:rsidRDefault="00252675" w:rsidP="00252675">
            <w:pPr>
              <w:ind w:firstLine="0"/>
              <w:jc w:val="left"/>
              <w:rPr>
                <w:sz w:val="20"/>
                <w:szCs w:val="20"/>
              </w:rPr>
            </w:pPr>
            <w:r w:rsidRPr="00252675">
              <w:rPr>
                <w:sz w:val="20"/>
                <w:szCs w:val="20"/>
              </w:rPr>
              <w:t>Ф58-11/1102 от 12.05.2026</w:t>
            </w:r>
          </w:p>
        </w:tc>
        <w:tc>
          <w:tcPr>
            <w:tcW w:w="1273" w:type="pct"/>
            <w:gridSpan w:val="3"/>
            <w:tcBorders>
              <w:top w:val="single" w:sz="4" w:space="0" w:color="000000"/>
              <w:left w:val="nil"/>
              <w:bottom w:val="single" w:sz="4" w:space="0" w:color="000000"/>
              <w:right w:val="single" w:sz="4" w:space="0" w:color="000000"/>
            </w:tcBorders>
            <w:shd w:val="clear" w:color="auto" w:fill="auto"/>
            <w:vAlign w:val="bottom"/>
            <w:hideMark/>
          </w:tcPr>
          <w:p w14:paraId="12D14FC8" w14:textId="77777777" w:rsidR="00252675" w:rsidRPr="00252675" w:rsidRDefault="00252675" w:rsidP="00252675">
            <w:pPr>
              <w:ind w:firstLine="0"/>
              <w:jc w:val="left"/>
              <w:rPr>
                <w:sz w:val="20"/>
                <w:szCs w:val="20"/>
              </w:rPr>
            </w:pPr>
            <w:r w:rsidRPr="00252675">
              <w:rPr>
                <w:sz w:val="20"/>
                <w:szCs w:val="20"/>
              </w:rPr>
              <w:t>12.07.2026</w:t>
            </w:r>
          </w:p>
        </w:tc>
        <w:tc>
          <w:tcPr>
            <w:tcW w:w="399" w:type="pct"/>
            <w:tcBorders>
              <w:top w:val="nil"/>
              <w:left w:val="nil"/>
              <w:bottom w:val="nil"/>
              <w:right w:val="nil"/>
            </w:tcBorders>
            <w:shd w:val="clear" w:color="auto" w:fill="auto"/>
            <w:noWrap/>
            <w:vAlign w:val="bottom"/>
            <w:hideMark/>
          </w:tcPr>
          <w:p w14:paraId="02EE607C" w14:textId="77777777" w:rsidR="00252675" w:rsidRPr="00252675" w:rsidRDefault="00252675" w:rsidP="00252675">
            <w:pPr>
              <w:ind w:firstLine="0"/>
              <w:jc w:val="left"/>
              <w:rPr>
                <w:sz w:val="20"/>
                <w:szCs w:val="20"/>
              </w:rPr>
            </w:pPr>
          </w:p>
        </w:tc>
        <w:tc>
          <w:tcPr>
            <w:tcW w:w="361" w:type="pct"/>
            <w:tcBorders>
              <w:top w:val="nil"/>
              <w:left w:val="nil"/>
              <w:bottom w:val="nil"/>
              <w:right w:val="nil"/>
            </w:tcBorders>
            <w:shd w:val="clear" w:color="auto" w:fill="auto"/>
            <w:noWrap/>
            <w:vAlign w:val="bottom"/>
            <w:hideMark/>
          </w:tcPr>
          <w:p w14:paraId="0DF82AB3" w14:textId="77777777" w:rsidR="00252675" w:rsidRPr="00252675" w:rsidRDefault="00252675" w:rsidP="00252675">
            <w:pPr>
              <w:ind w:firstLine="0"/>
              <w:jc w:val="left"/>
              <w:rPr>
                <w:sz w:val="20"/>
                <w:szCs w:val="20"/>
              </w:rPr>
            </w:pPr>
          </w:p>
        </w:tc>
        <w:tc>
          <w:tcPr>
            <w:tcW w:w="374" w:type="pct"/>
            <w:tcBorders>
              <w:top w:val="nil"/>
              <w:left w:val="nil"/>
              <w:bottom w:val="nil"/>
              <w:right w:val="nil"/>
            </w:tcBorders>
            <w:shd w:val="clear" w:color="auto" w:fill="auto"/>
            <w:noWrap/>
            <w:vAlign w:val="bottom"/>
            <w:hideMark/>
          </w:tcPr>
          <w:p w14:paraId="048ACA9B" w14:textId="77777777" w:rsidR="00252675" w:rsidRPr="00252675" w:rsidRDefault="00252675" w:rsidP="00252675">
            <w:pPr>
              <w:ind w:firstLine="0"/>
              <w:jc w:val="left"/>
              <w:rPr>
                <w:sz w:val="20"/>
                <w:szCs w:val="20"/>
              </w:rPr>
            </w:pPr>
          </w:p>
        </w:tc>
        <w:tc>
          <w:tcPr>
            <w:tcW w:w="447" w:type="pct"/>
            <w:tcBorders>
              <w:top w:val="nil"/>
              <w:left w:val="nil"/>
              <w:bottom w:val="nil"/>
              <w:right w:val="nil"/>
            </w:tcBorders>
            <w:shd w:val="clear" w:color="auto" w:fill="auto"/>
            <w:noWrap/>
            <w:vAlign w:val="bottom"/>
            <w:hideMark/>
          </w:tcPr>
          <w:p w14:paraId="5B8B61EA" w14:textId="77777777" w:rsidR="00252675" w:rsidRPr="00252675" w:rsidRDefault="00252675" w:rsidP="00252675">
            <w:pPr>
              <w:ind w:firstLine="0"/>
              <w:jc w:val="left"/>
              <w:rPr>
                <w:sz w:val="20"/>
                <w:szCs w:val="20"/>
              </w:rPr>
            </w:pPr>
          </w:p>
        </w:tc>
      </w:tr>
    </w:tbl>
    <w:p w14:paraId="65857CD3" w14:textId="77777777" w:rsidR="00A1534C" w:rsidRPr="00000CF9" w:rsidRDefault="00A1534C" w:rsidP="00ED6C19">
      <w:pPr>
        <w:jc w:val="right"/>
        <w:rPr>
          <w:sz w:val="20"/>
          <w:szCs w:val="20"/>
        </w:rPr>
      </w:pPr>
    </w:p>
    <w:sectPr w:rsidR="00A1534C" w:rsidRPr="00000CF9" w:rsidSect="00390AD6">
      <w:pgSz w:w="16838" w:h="11906" w:orient="landscape"/>
      <w:pgMar w:top="992" w:right="1134" w:bottom="155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9FBD" w14:textId="77777777" w:rsidR="0092417D" w:rsidRDefault="0092417D">
      <w:r>
        <w:separator/>
      </w:r>
    </w:p>
  </w:endnote>
  <w:endnote w:type="continuationSeparator" w:id="0">
    <w:p w14:paraId="40856556" w14:textId="77777777" w:rsidR="0092417D" w:rsidRDefault="0092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9138" w14:textId="77777777" w:rsidR="0092417D" w:rsidRDefault="0092417D">
      <w:r>
        <w:separator/>
      </w:r>
    </w:p>
  </w:footnote>
  <w:footnote w:type="continuationSeparator" w:id="0">
    <w:p w14:paraId="3B526D77" w14:textId="77777777" w:rsidR="0092417D" w:rsidRDefault="0092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50A77"/>
    <w:rsid w:val="00051F49"/>
    <w:rsid w:val="0005515F"/>
    <w:rsid w:val="000572CE"/>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7DEE"/>
    <w:rsid w:val="00122C1E"/>
    <w:rsid w:val="001274B5"/>
    <w:rsid w:val="00127544"/>
    <w:rsid w:val="0013032F"/>
    <w:rsid w:val="00130E7B"/>
    <w:rsid w:val="0013413F"/>
    <w:rsid w:val="00137297"/>
    <w:rsid w:val="00140A71"/>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647"/>
    <w:rsid w:val="00186580"/>
    <w:rsid w:val="00187DCF"/>
    <w:rsid w:val="00191116"/>
    <w:rsid w:val="00192CDE"/>
    <w:rsid w:val="00193BB8"/>
    <w:rsid w:val="001942CE"/>
    <w:rsid w:val="00197B09"/>
    <w:rsid w:val="001A26ED"/>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675"/>
    <w:rsid w:val="00252A1A"/>
    <w:rsid w:val="002530C4"/>
    <w:rsid w:val="00255650"/>
    <w:rsid w:val="00260225"/>
    <w:rsid w:val="00262576"/>
    <w:rsid w:val="0026257D"/>
    <w:rsid w:val="0026386A"/>
    <w:rsid w:val="00265168"/>
    <w:rsid w:val="00274E2A"/>
    <w:rsid w:val="002752F6"/>
    <w:rsid w:val="00276B8B"/>
    <w:rsid w:val="00280D88"/>
    <w:rsid w:val="00281C1F"/>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E667F"/>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0AD6"/>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3F3FC5"/>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46C95"/>
    <w:rsid w:val="004521C5"/>
    <w:rsid w:val="00453FC1"/>
    <w:rsid w:val="00454D40"/>
    <w:rsid w:val="0045589B"/>
    <w:rsid w:val="00456FD1"/>
    <w:rsid w:val="00464936"/>
    <w:rsid w:val="00471019"/>
    <w:rsid w:val="00471CA5"/>
    <w:rsid w:val="004746AD"/>
    <w:rsid w:val="004778AB"/>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143C1"/>
    <w:rsid w:val="0052005C"/>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192"/>
    <w:rsid w:val="007634A5"/>
    <w:rsid w:val="00770420"/>
    <w:rsid w:val="0077162A"/>
    <w:rsid w:val="00771EA3"/>
    <w:rsid w:val="007721D4"/>
    <w:rsid w:val="00772367"/>
    <w:rsid w:val="007772BB"/>
    <w:rsid w:val="00777DF7"/>
    <w:rsid w:val="007806D8"/>
    <w:rsid w:val="00787BF6"/>
    <w:rsid w:val="0079117D"/>
    <w:rsid w:val="00793630"/>
    <w:rsid w:val="007A45D8"/>
    <w:rsid w:val="007A68A5"/>
    <w:rsid w:val="007B0934"/>
    <w:rsid w:val="007B59C2"/>
    <w:rsid w:val="007B762B"/>
    <w:rsid w:val="007C6700"/>
    <w:rsid w:val="007D174A"/>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417D"/>
    <w:rsid w:val="00925BEF"/>
    <w:rsid w:val="00930B68"/>
    <w:rsid w:val="00933500"/>
    <w:rsid w:val="00933E3C"/>
    <w:rsid w:val="00934942"/>
    <w:rsid w:val="00940644"/>
    <w:rsid w:val="00944360"/>
    <w:rsid w:val="009443C6"/>
    <w:rsid w:val="009513E1"/>
    <w:rsid w:val="00964711"/>
    <w:rsid w:val="009719D7"/>
    <w:rsid w:val="00975C5A"/>
    <w:rsid w:val="0098755E"/>
    <w:rsid w:val="00994A4A"/>
    <w:rsid w:val="009965E8"/>
    <w:rsid w:val="0099674C"/>
    <w:rsid w:val="00996AF9"/>
    <w:rsid w:val="009975C4"/>
    <w:rsid w:val="009A2653"/>
    <w:rsid w:val="009A6696"/>
    <w:rsid w:val="009A7024"/>
    <w:rsid w:val="009A7758"/>
    <w:rsid w:val="009B319E"/>
    <w:rsid w:val="009B5509"/>
    <w:rsid w:val="009D0470"/>
    <w:rsid w:val="009D172F"/>
    <w:rsid w:val="009D3087"/>
    <w:rsid w:val="009D484F"/>
    <w:rsid w:val="009E1EC6"/>
    <w:rsid w:val="009E2632"/>
    <w:rsid w:val="009E5FB0"/>
    <w:rsid w:val="009E6233"/>
    <w:rsid w:val="009F1896"/>
    <w:rsid w:val="009F2F38"/>
    <w:rsid w:val="009F6142"/>
    <w:rsid w:val="009F6806"/>
    <w:rsid w:val="00A03B70"/>
    <w:rsid w:val="00A045D5"/>
    <w:rsid w:val="00A12100"/>
    <w:rsid w:val="00A15079"/>
    <w:rsid w:val="00A1534C"/>
    <w:rsid w:val="00A200F5"/>
    <w:rsid w:val="00A2282F"/>
    <w:rsid w:val="00A22C90"/>
    <w:rsid w:val="00A256F9"/>
    <w:rsid w:val="00A3297D"/>
    <w:rsid w:val="00A33BCD"/>
    <w:rsid w:val="00A35DA2"/>
    <w:rsid w:val="00A3738A"/>
    <w:rsid w:val="00A43C44"/>
    <w:rsid w:val="00A457F0"/>
    <w:rsid w:val="00A46582"/>
    <w:rsid w:val="00A469B7"/>
    <w:rsid w:val="00A53D87"/>
    <w:rsid w:val="00A563B8"/>
    <w:rsid w:val="00A6253F"/>
    <w:rsid w:val="00A635BC"/>
    <w:rsid w:val="00A647D0"/>
    <w:rsid w:val="00A65931"/>
    <w:rsid w:val="00A72A98"/>
    <w:rsid w:val="00A80E92"/>
    <w:rsid w:val="00A81AC7"/>
    <w:rsid w:val="00A82725"/>
    <w:rsid w:val="00A851BB"/>
    <w:rsid w:val="00A94BF3"/>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9524B"/>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4FF3"/>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778E0"/>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3422"/>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54FA"/>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B4A27"/>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0159411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3995687">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17080184">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2831841">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493644690">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76980506">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09199217">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90603625">
      <w:bodyDiv w:val="1"/>
      <w:marLeft w:val="0"/>
      <w:marRight w:val="0"/>
      <w:marTop w:val="0"/>
      <w:marBottom w:val="0"/>
      <w:divBdr>
        <w:top w:val="none" w:sz="0" w:space="0" w:color="auto"/>
        <w:left w:val="none" w:sz="0" w:space="0" w:color="auto"/>
        <w:bottom w:val="none" w:sz="0" w:space="0" w:color="auto"/>
        <w:right w:val="none" w:sz="0" w:space="0" w:color="auto"/>
      </w:divBdr>
    </w:div>
    <w:div w:id="1210149926">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55938869">
      <w:bodyDiv w:val="1"/>
      <w:marLeft w:val="0"/>
      <w:marRight w:val="0"/>
      <w:marTop w:val="0"/>
      <w:marBottom w:val="0"/>
      <w:divBdr>
        <w:top w:val="none" w:sz="0" w:space="0" w:color="auto"/>
        <w:left w:val="none" w:sz="0" w:space="0" w:color="auto"/>
        <w:bottom w:val="none" w:sz="0" w:space="0" w:color="auto"/>
        <w:right w:val="none" w:sz="0" w:space="0" w:color="auto"/>
      </w:divBdr>
    </w:div>
    <w:div w:id="1259410665">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48099908">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35858570">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37231577">
      <w:bodyDiv w:val="1"/>
      <w:marLeft w:val="0"/>
      <w:marRight w:val="0"/>
      <w:marTop w:val="0"/>
      <w:marBottom w:val="0"/>
      <w:divBdr>
        <w:top w:val="none" w:sz="0" w:space="0" w:color="auto"/>
        <w:left w:val="none" w:sz="0" w:space="0" w:color="auto"/>
        <w:bottom w:val="none" w:sz="0" w:space="0" w:color="auto"/>
        <w:right w:val="none" w:sz="0" w:space="0" w:color="auto"/>
      </w:divBdr>
    </w:div>
    <w:div w:id="1566137706">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049335982">
      <w:bodyDiv w:val="1"/>
      <w:marLeft w:val="0"/>
      <w:marRight w:val="0"/>
      <w:marTop w:val="0"/>
      <w:marBottom w:val="0"/>
      <w:divBdr>
        <w:top w:val="none" w:sz="0" w:space="0" w:color="auto"/>
        <w:left w:val="none" w:sz="0" w:space="0" w:color="auto"/>
        <w:bottom w:val="none" w:sz="0" w:space="0" w:color="auto"/>
        <w:right w:val="none" w:sz="0" w:space="0" w:color="auto"/>
      </w:divBdr>
    </w:div>
    <w:div w:id="2144231406">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5EC2-30B7-4C21-A426-B47E8F3A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29</cp:revision>
  <cp:lastPrinted>2020-03-23T11:25:00Z</cp:lastPrinted>
  <dcterms:created xsi:type="dcterms:W3CDTF">2025-10-17T06:03:00Z</dcterms:created>
  <dcterms:modified xsi:type="dcterms:W3CDTF">2026-07-13T07:48:00Z</dcterms:modified>
</cp:coreProperties>
</file>