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0DC8A484" w:rsidR="004D0DC3" w:rsidRDefault="00362F5A" w:rsidP="00B865CF">
      <w:pPr>
        <w:pStyle w:val="afffff7"/>
        <w:spacing w:line="240" w:lineRule="auto"/>
        <w:ind w:firstLine="709"/>
        <w:rPr>
          <w:bCs/>
          <w:kern w:val="28"/>
        </w:rPr>
      </w:pPr>
      <w:bookmarkStart w:id="17" w:name="_GoBack"/>
      <w:bookmarkEnd w:id="17"/>
      <w:r w:rsidRPr="00B865CF">
        <w:t>В случае в</w:t>
      </w:r>
      <w:r w:rsidR="004D0DC3" w:rsidRPr="00B865CF">
        <w:t>озникновени</w:t>
      </w:r>
      <w:r w:rsidRPr="00B865CF">
        <w:t>я</w:t>
      </w:r>
      <w:r w:rsidR="004D0DC3" w:rsidRPr="00B865CF">
        <w:t xml:space="preserve"> </w:t>
      </w:r>
      <w:r w:rsidR="00554373" w:rsidRPr="00B865CF">
        <w:t>противоречий между положениями Ч</w:t>
      </w:r>
      <w:r w:rsidR="004D0DC3" w:rsidRPr="00B865CF">
        <w:t xml:space="preserve">асти I «ОБЩИЕ УСЛОВИЯ ПРОВЕДЕНИЯ </w:t>
      </w:r>
      <w:r w:rsidR="00CC420F" w:rsidRPr="00B865CF">
        <w:t>ЦЕНОВОГО ОТБОРА</w:t>
      </w:r>
      <w:r w:rsidR="004D0DC3" w:rsidRPr="00B865CF">
        <w:t xml:space="preserve"> В ЭЛЕКТРОННОЙ ФОРМЕ» и Положен</w:t>
      </w:r>
      <w:r w:rsidR="00F7221D" w:rsidRPr="00B865CF">
        <w:t>ием</w:t>
      </w:r>
      <w:r w:rsidR="004D0DC3" w:rsidRPr="00B865CF">
        <w:t xml:space="preserve"> о закупке товаров, работ, услуг для нужд </w:t>
      </w:r>
      <w:r w:rsidR="00735176" w:rsidRPr="00B865CF">
        <w:t xml:space="preserve">АО </w:t>
      </w:r>
      <w:r w:rsidR="004D0DC3" w:rsidRPr="00B865CF">
        <w:t>«Почта России»</w:t>
      </w:r>
      <w:r w:rsidR="00B5591F" w:rsidRPr="00B865CF">
        <w:t xml:space="preserve"> </w:t>
      </w:r>
      <w:r w:rsidR="004D0DC3" w:rsidRPr="00B865CF">
        <w:t>(далее –</w:t>
      </w:r>
      <w:r w:rsidR="0009797B" w:rsidRPr="00B865CF">
        <w:t xml:space="preserve"> Общество, Заказчик,</w:t>
      </w:r>
      <w:r w:rsidR="004D0DC3" w:rsidRPr="00B865CF">
        <w:t xml:space="preserve"> Положение о закупке)</w:t>
      </w:r>
      <w:r w:rsidR="0040767C" w:rsidRPr="00B865CF">
        <w:t>,</w:t>
      </w:r>
      <w:r w:rsidR="004D0DC3" w:rsidRPr="00B865CF">
        <w:t xml:space="preserve"> размещен</w:t>
      </w:r>
      <w:r w:rsidR="00A048B8" w:rsidRPr="00B865CF">
        <w:t>н</w:t>
      </w:r>
      <w:r w:rsidR="00F7221D" w:rsidRPr="00B865CF">
        <w:t>ым</w:t>
      </w:r>
      <w:r w:rsidR="004D0DC3" w:rsidRPr="00B865CF">
        <w:t xml:space="preserve"> </w:t>
      </w:r>
      <w:r w:rsidR="00735D9D" w:rsidRPr="00B865CF">
        <w:t>в Единой</w:t>
      </w:r>
      <w:r w:rsidR="00735D9D" w:rsidRPr="00EE0D14">
        <w:t xml:space="preserve"> информационной системе в сфере закупок товаров, работ, услуг (</w:t>
      </w:r>
      <w:hyperlink r:id="rId8" w:history="1">
        <w:r w:rsidR="00735D9D" w:rsidRPr="00EE0D14">
          <w:rPr>
            <w:rStyle w:val="a5"/>
          </w:rPr>
          <w:t>www.zakupki.gov.ru</w:t>
        </w:r>
      </w:hyperlink>
      <w:r w:rsidR="0029208A" w:rsidRPr="00EE0D14">
        <w:t>, далее - ЕИС</w:t>
      </w:r>
      <w:r w:rsidR="00735D9D" w:rsidRPr="00EE0D14">
        <w:t>)</w:t>
      </w:r>
      <w:r w:rsidR="004D0DC3" w:rsidRPr="00EE0D14">
        <w:rPr>
          <w:bCs/>
          <w:kern w:val="28"/>
        </w:rPr>
        <w:t xml:space="preserve">, </w:t>
      </w:r>
      <w:r w:rsidR="004D0DC3" w:rsidRPr="00B865CF">
        <w:t>применяются положения, установленные Положением о закупке</w:t>
      </w:r>
      <w:r w:rsidRPr="00B865CF">
        <w:t>.</w:t>
      </w:r>
    </w:p>
    <w:p w14:paraId="275AF673" w14:textId="77777777" w:rsidR="004F4AD8" w:rsidRPr="00B865CF" w:rsidRDefault="004F4AD8" w:rsidP="00B865CF">
      <w:pPr>
        <w:ind w:firstLine="709"/>
        <w:jc w:val="both"/>
        <w:rPr>
          <w:rFonts w:ascii="Times New Roman" w:hAnsi="Times New Roman"/>
        </w:rPr>
      </w:pPr>
      <w:r w:rsidRPr="00B865CF">
        <w:rPr>
          <w:rFonts w:ascii="Times New Roman" w:hAnsi="Times New Roman"/>
        </w:rPr>
        <w:t>Настоящий ценовой отбор является неконкурентной закупкой, проводимой в соответствии со ст. 10.5 Положения о закупке.</w:t>
      </w:r>
    </w:p>
    <w:p w14:paraId="67AD5D5C" w14:textId="370AFB40"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w:t>
      </w:r>
      <w:r w:rsidR="00B865CF">
        <w:rPr>
          <w:rFonts w:ascii="Times New Roman" w:hAnsi="Times New Roman"/>
        </w:rPr>
        <w:t xml:space="preserve">ей закупке, а также информацию </w:t>
      </w:r>
      <w:r w:rsidRPr="00073766">
        <w:rPr>
          <w:rFonts w:ascii="Times New Roman" w:hAnsi="Times New Roman"/>
        </w:rPr>
        <w:t>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5DE78B3C" w14:textId="77777777" w:rsidR="0018784B" w:rsidRDefault="0018784B" w:rsidP="0018784B">
      <w:pPr>
        <w:pStyle w:val="3"/>
        <w:ind w:left="0"/>
        <w:rPr>
          <w:sz w:val="24"/>
          <w:szCs w:val="24"/>
        </w:rPr>
      </w:pPr>
      <w:r w:rsidRPr="00AC71D9">
        <w:rPr>
          <w:sz w:val="24"/>
          <w:szCs w:val="24"/>
        </w:rPr>
        <w:lastRenderedPageBreak/>
        <w:t>Извещение о проведении ценового отбора размещается Заказчиком в ЕИС</w:t>
      </w:r>
      <w:r w:rsidRPr="00AC71D9">
        <w:rPr>
          <w:rStyle w:val="af0"/>
          <w:sz w:val="24"/>
          <w:szCs w:val="24"/>
        </w:rPr>
        <w:footnoteReference w:id="3"/>
      </w:r>
      <w:r w:rsidRPr="00AC71D9">
        <w:rPr>
          <w:sz w:val="24"/>
          <w:szCs w:val="24"/>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5D58F622"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00B865CF">
        <w:rPr>
          <w:sz w:val="24"/>
          <w:szCs w:val="24"/>
        </w:rPr>
        <w:t xml:space="preserve"> может быть </w:t>
      </w:r>
      <w:r w:rsidRPr="0048262B">
        <w:rPr>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w:t>
      </w:r>
      <w:r w:rsidRPr="00EE0D14">
        <w:rPr>
          <w:rFonts w:ascii="Times New Roman" w:hAnsi="Times New Roman"/>
          <w:sz w:val="24"/>
          <w:szCs w:val="24"/>
        </w:rPr>
        <w:lastRenderedPageBreak/>
        <w:t xml:space="preserve">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01453161"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sidR="008227B8">
        <w:rPr>
          <w:rFonts w:ascii="Times New Roman" w:hAnsi="Times New Roman"/>
          <w:sz w:val="24"/>
          <w:szCs w:val="24"/>
        </w:rPr>
        <w:t>двух и более</w:t>
      </w:r>
      <w:r>
        <w:rPr>
          <w:rFonts w:ascii="Times New Roman" w:hAnsi="Times New Roman"/>
          <w:sz w:val="24"/>
          <w:szCs w:val="24"/>
        </w:rPr>
        <w:t xml:space="preserve">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0B4FA4DA"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00DE58D6">
        <w:rPr>
          <w:rFonts w:ascii="Times New Roman" w:hAnsi="Times New Roman"/>
          <w:sz w:val="24"/>
          <w:szCs w:val="24"/>
        </w:rPr>
        <w:t xml:space="preserve"> № 223-ФЗ</w:t>
      </w:r>
      <w:r w:rsidR="00DE58D6">
        <w:rPr>
          <w:rFonts w:ascii="Times New Roman" w:hAnsi="Times New Roman"/>
          <w:sz w:val="24"/>
          <w:szCs w:val="24"/>
          <w:lang w:val="ru-RU"/>
        </w:rPr>
        <w:t>;</w:t>
      </w:r>
      <w:r w:rsidRPr="00EE0D14">
        <w:rPr>
          <w:rFonts w:ascii="Times New Roman" w:hAnsi="Times New Roman"/>
          <w:sz w:val="24"/>
          <w:szCs w:val="24"/>
        </w:rPr>
        <w:t xml:space="preserve">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084B1C6A"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B865CF">
        <w:rPr>
          <w:rFonts w:ascii="Times New Roman" w:hAnsi="Times New Roman"/>
          <w:i/>
          <w:sz w:val="24"/>
          <w:szCs w:val="24"/>
          <w:lang w:val="ru-RU"/>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5A90892C"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A6807">
        <w:rPr>
          <w:sz w:val="24"/>
          <w:szCs w:val="24"/>
          <w:lang w:val="en-US"/>
        </w:rPr>
        <w:t>VII</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5A404BE6"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w:t>
      </w:r>
      <w:r w:rsidR="009C30B5">
        <w:rPr>
          <w:sz w:val="24"/>
          <w:szCs w:val="24"/>
        </w:rPr>
        <w:t xml:space="preserve">ноименных услуг, установленных </w:t>
      </w:r>
      <w:r w:rsidR="009C30B5">
        <w:rPr>
          <w:sz w:val="24"/>
          <w:szCs w:val="24"/>
          <w:lang w:val="ru-RU"/>
        </w:rPr>
        <w:t>З</w:t>
      </w:r>
      <w:r w:rsidR="00DF762E" w:rsidRPr="00EE0D14">
        <w:rPr>
          <w:sz w:val="24"/>
          <w:szCs w:val="24"/>
        </w:rPr>
        <w:t>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75EB3612" w:rsidR="00130531" w:rsidRDefault="00130531" w:rsidP="00EE0D14">
      <w:pPr>
        <w:pStyle w:val="20"/>
        <w:tabs>
          <w:tab w:val="left" w:pos="1134"/>
        </w:tabs>
        <w:ind w:left="0"/>
        <w:rPr>
          <w:sz w:val="24"/>
          <w:szCs w:val="24"/>
        </w:rPr>
      </w:pPr>
      <w:bookmarkStart w:id="31" w:name="_Toc375898271"/>
      <w:bookmarkStart w:id="32" w:name="_Toc375898855"/>
      <w:r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52028C45"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p>
    <w:p w14:paraId="562A1E68" w14:textId="12C61EE8" w:rsidR="00B97909" w:rsidRPr="00EE0D14" w:rsidRDefault="00567D8E" w:rsidP="00EE0D14">
      <w:pPr>
        <w:pStyle w:val="3"/>
        <w:tabs>
          <w:tab w:val="left" w:pos="0"/>
        </w:tabs>
        <w:ind w:left="0"/>
        <w:rPr>
          <w:sz w:val="24"/>
          <w:szCs w:val="24"/>
        </w:rPr>
      </w:pPr>
      <w:r w:rsidRPr="00EE0D14">
        <w:rPr>
          <w:sz w:val="24"/>
          <w:szCs w:val="24"/>
        </w:rPr>
        <w:lastRenderedPageBreak/>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w:t>
      </w:r>
      <w:r w:rsidR="009C30B5">
        <w:rPr>
          <w:sz w:val="24"/>
          <w:szCs w:val="24"/>
        </w:rPr>
        <w:t xml:space="preserve">до момента заключения договора </w:t>
      </w:r>
      <w:r w:rsidR="009C30B5">
        <w:rPr>
          <w:sz w:val="24"/>
          <w:szCs w:val="24"/>
          <w:lang w:val="ru-RU"/>
        </w:rPr>
        <w:t>З</w:t>
      </w:r>
      <w:proofErr w:type="spellStart"/>
      <w:r w:rsidRPr="00EE0D14">
        <w:rPr>
          <w:sz w:val="24"/>
          <w:szCs w:val="24"/>
        </w:rPr>
        <w:t>аказчик</w:t>
      </w:r>
      <w:proofErr w:type="spellEnd"/>
      <w:r w:rsidRPr="00EE0D14">
        <w:rPr>
          <w:sz w:val="24"/>
          <w:szCs w:val="24"/>
        </w:rPr>
        <w:t xml:space="preserve">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64BD37D"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B865CF">
        <w:rPr>
          <w:sz w:val="24"/>
          <w:szCs w:val="24"/>
        </w:rPr>
        <w:t>,</w:t>
      </w:r>
      <w:r w:rsidR="003D63D9" w:rsidRPr="00B865CF">
        <w:rPr>
          <w:sz w:val="24"/>
          <w:szCs w:val="24"/>
          <w:lang w:val="ru-RU"/>
        </w:rPr>
        <w:t xml:space="preserve"> </w:t>
      </w:r>
      <w:r w:rsidR="00CF1C7D" w:rsidRPr="00B865CF">
        <w:rPr>
          <w:sz w:val="24"/>
          <w:szCs w:val="24"/>
        </w:rPr>
        <w:t xml:space="preserve">п. </w:t>
      </w:r>
      <w:r w:rsidRPr="00B865CF">
        <w:rPr>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lastRenderedPageBreak/>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621A9534" w:rsidR="00CA5AEB" w:rsidRPr="00EE0D14" w:rsidRDefault="008227B8" w:rsidP="005B0CBE">
      <w:pPr>
        <w:pStyle w:val="3"/>
        <w:ind w:left="0"/>
        <w:rPr>
          <w:rFonts w:eastAsia="Calibri"/>
          <w:sz w:val="24"/>
          <w:szCs w:val="24"/>
        </w:rPr>
      </w:pPr>
      <w:r>
        <w:rPr>
          <w:rFonts w:eastAsia="Calibri"/>
          <w:sz w:val="24"/>
          <w:szCs w:val="24"/>
        </w:rPr>
        <w:t>В течение 3</w:t>
      </w:r>
      <w:r>
        <w:rPr>
          <w:rFonts w:eastAsia="Calibri"/>
          <w:sz w:val="24"/>
          <w:szCs w:val="24"/>
          <w:lang w:val="ru-RU"/>
        </w:rPr>
        <w:t xml:space="preserve"> </w:t>
      </w:r>
      <w:r w:rsidR="00CA5AEB" w:rsidRPr="00EE0D14">
        <w:rPr>
          <w:rFonts w:eastAsia="Calibri"/>
          <w:sz w:val="24"/>
          <w:szCs w:val="24"/>
        </w:rPr>
        <w:t xml:space="preserve">(трех) дней со дня принятия решения о внесении изменений в извещение о проведении </w:t>
      </w:r>
      <w:r w:rsidR="00CC420F">
        <w:rPr>
          <w:rFonts w:eastAsia="Calibri"/>
          <w:sz w:val="24"/>
          <w:szCs w:val="24"/>
        </w:rPr>
        <w:t>ценового отбора</w:t>
      </w:r>
      <w:r w:rsidR="00CA5AEB"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00CA5AEB"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00CA5AEB"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00CA5AEB" w:rsidRPr="00EE0D14">
        <w:rPr>
          <w:rFonts w:eastAsia="Calibri"/>
          <w:sz w:val="24"/>
          <w:szCs w:val="24"/>
        </w:rPr>
        <w:t xml:space="preserve"> такой срок </w:t>
      </w:r>
      <w:r w:rsidR="005B5FB8" w:rsidRPr="00EE0D14">
        <w:rPr>
          <w:rFonts w:eastAsia="Calibri"/>
          <w:sz w:val="24"/>
          <w:szCs w:val="24"/>
        </w:rPr>
        <w:t>составлял н</w:t>
      </w:r>
      <w:r w:rsidR="00CA5AEB" w:rsidRPr="00EE0D14">
        <w:rPr>
          <w:rFonts w:eastAsia="Calibri"/>
          <w:sz w:val="24"/>
          <w:szCs w:val="24"/>
        </w:rPr>
        <w:t xml:space="preserve">е менее </w:t>
      </w:r>
      <w:r w:rsidR="005B5FB8" w:rsidRPr="00EE0D14">
        <w:rPr>
          <w:rFonts w:eastAsia="Calibri"/>
          <w:sz w:val="24"/>
          <w:szCs w:val="24"/>
        </w:rPr>
        <w:t>8 дней, из которых 4 рабочие</w:t>
      </w:r>
      <w:r w:rsidR="00CA5AEB"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w:t>
      </w:r>
      <w:r w:rsidR="00FC1EFE" w:rsidRPr="00EE0D14">
        <w:rPr>
          <w:sz w:val="24"/>
          <w:szCs w:val="24"/>
        </w:rPr>
        <w:lastRenderedPageBreak/>
        <w:t>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FC1999" w:rsidRDefault="008C3692" w:rsidP="00C86D5A">
      <w:pPr>
        <w:pStyle w:val="3"/>
        <w:numPr>
          <w:ilvl w:val="0"/>
          <w:numId w:val="0"/>
        </w:numPr>
        <w:tabs>
          <w:tab w:val="left" w:pos="1134"/>
          <w:tab w:val="left" w:pos="1276"/>
        </w:tabs>
        <w:ind w:firstLine="709"/>
        <w:rPr>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04DB0787" w:rsidR="006044DD" w:rsidRPr="00FC1999" w:rsidRDefault="008C3692" w:rsidP="00C86D5A">
      <w:pPr>
        <w:pStyle w:val="3"/>
        <w:numPr>
          <w:ilvl w:val="0"/>
          <w:numId w:val="0"/>
        </w:numPr>
        <w:tabs>
          <w:tab w:val="left" w:pos="1134"/>
          <w:tab w:val="left" w:pos="1276"/>
        </w:tabs>
        <w:ind w:firstLine="709"/>
        <w:rPr>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w:t>
      </w:r>
      <w:r w:rsidR="00FC1999">
        <w:rPr>
          <w:sz w:val="24"/>
          <w:szCs w:val="24"/>
        </w:rPr>
        <w:t>енным в настоящей документации.</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22979234"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w:t>
      </w:r>
      <w:r w:rsidR="00FC1999">
        <w:rPr>
          <w:rFonts w:eastAsia="Calibri"/>
          <w:sz w:val="24"/>
          <w:szCs w:val="24"/>
        </w:rPr>
        <w:t>ве подать только одну заявку на</w:t>
      </w:r>
      <w:r w:rsidR="00FC1999">
        <w:rPr>
          <w:rFonts w:eastAsia="Calibri"/>
          <w:sz w:val="24"/>
          <w:szCs w:val="24"/>
          <w:lang w:val="ru-RU"/>
        </w:rPr>
        <w:t xml:space="preserve"> </w:t>
      </w:r>
      <w:r w:rsidR="00FC1999">
        <w:rPr>
          <w:rFonts w:eastAsia="Calibri"/>
          <w:sz w:val="24"/>
          <w:szCs w:val="24"/>
        </w:rPr>
        <w:t>участие в</w:t>
      </w:r>
      <w:r w:rsidR="00FC1999">
        <w:rPr>
          <w:rFonts w:eastAsia="Calibri"/>
          <w:sz w:val="24"/>
          <w:szCs w:val="24"/>
          <w:lang w:val="ru-RU"/>
        </w:rPr>
        <w:t xml:space="preserve">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1A6BA27" w:rsidR="00263024" w:rsidRPr="00EE0D14" w:rsidRDefault="008B6C93" w:rsidP="00EE0D14">
      <w:pPr>
        <w:pStyle w:val="3"/>
        <w:ind w:left="0"/>
        <w:rPr>
          <w:sz w:val="24"/>
          <w:szCs w:val="24"/>
        </w:rPr>
      </w:pPr>
      <w:r w:rsidRPr="00735176">
        <w:rPr>
          <w:sz w:val="24"/>
          <w:szCs w:val="24"/>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w:t>
      </w:r>
      <w:r w:rsidRPr="00735176">
        <w:rPr>
          <w:sz w:val="24"/>
          <w:szCs w:val="24"/>
        </w:rPr>
        <w:lastRenderedPageBreak/>
        <w:t>оформленные в соответствии с требованиями документаци</w:t>
      </w:r>
      <w:r w:rsidR="00FC1999">
        <w:rPr>
          <w:sz w:val="24"/>
          <w:szCs w:val="24"/>
        </w:rPr>
        <w:t>и), входящие в состав заявки на</w:t>
      </w:r>
      <w:r w:rsidR="00FC1999">
        <w:rPr>
          <w:sz w:val="24"/>
          <w:szCs w:val="24"/>
          <w:lang w:val="ru-RU"/>
        </w:rPr>
        <w:t xml:space="preserve"> </w:t>
      </w:r>
      <w:r w:rsidRPr="00735176">
        <w:rPr>
          <w:sz w:val="24"/>
          <w:szCs w:val="24"/>
        </w:rPr>
        <w:t>участие в закупке должны быть предоставлен</w:t>
      </w:r>
      <w:r w:rsidR="00FC1999">
        <w:rPr>
          <w:sz w:val="24"/>
          <w:szCs w:val="24"/>
        </w:rPr>
        <w:t>ы участником закупки через ЭП в</w:t>
      </w:r>
      <w:r w:rsidR="00FC1999">
        <w:rPr>
          <w:sz w:val="24"/>
          <w:szCs w:val="24"/>
          <w:lang w:val="ru-RU"/>
        </w:rPr>
        <w:t xml:space="preserve"> </w:t>
      </w:r>
      <w:r w:rsidRPr="00735176">
        <w:rPr>
          <w:sz w:val="24"/>
          <w:szCs w:val="24"/>
        </w:rPr>
        <w:t>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w:t>
      </w:r>
      <w:r w:rsidR="00FC1999">
        <w:rPr>
          <w:sz w:val="24"/>
          <w:szCs w:val="24"/>
        </w:rPr>
        <w:t>нного файла заявки на участие в</w:t>
      </w:r>
      <w:r w:rsidR="00FC1999">
        <w:rPr>
          <w:sz w:val="24"/>
          <w:szCs w:val="24"/>
          <w:lang w:val="ru-RU"/>
        </w:rPr>
        <w:t xml:space="preserve"> </w:t>
      </w:r>
      <w:r w:rsidR="00FC1999">
        <w:rPr>
          <w:sz w:val="24"/>
          <w:szCs w:val="24"/>
        </w:rPr>
        <w:t>закупке, с</w:t>
      </w:r>
      <w:r w:rsidR="00FC1999">
        <w:rPr>
          <w:sz w:val="24"/>
          <w:szCs w:val="24"/>
          <w:lang w:val="ru-RU"/>
        </w:rPr>
        <w:t xml:space="preserve"> </w:t>
      </w:r>
      <w:r w:rsidRPr="00735176">
        <w:rPr>
          <w:sz w:val="24"/>
          <w:szCs w:val="24"/>
        </w:rPr>
        <w:t>указанием наименования документа, представленного данным файлом. Допуска</w:t>
      </w:r>
      <w:r w:rsidR="00FC1999">
        <w:rPr>
          <w:sz w:val="24"/>
          <w:szCs w:val="24"/>
        </w:rPr>
        <w:t>ется размещение на</w:t>
      </w:r>
      <w:r w:rsidR="00FC1999">
        <w:rPr>
          <w:sz w:val="24"/>
          <w:szCs w:val="24"/>
          <w:lang w:val="ru-RU"/>
        </w:rPr>
        <w:t xml:space="preserve"> </w:t>
      </w:r>
      <w:r w:rsidRPr="00735176">
        <w:rPr>
          <w:sz w:val="24"/>
          <w:szCs w:val="24"/>
        </w:rPr>
        <w:t>ЭП документов, сохраненных в архивах, при этом размещение на ЭП архивов, разделенных на несколько частей</w:t>
      </w:r>
      <w:r w:rsidR="00FC1999">
        <w:rPr>
          <w:sz w:val="24"/>
          <w:szCs w:val="24"/>
        </w:rPr>
        <w:t>, открытие каждой из которых по</w:t>
      </w:r>
      <w:r w:rsidR="00FC1999">
        <w:rPr>
          <w:sz w:val="24"/>
          <w:szCs w:val="24"/>
          <w:lang w:val="ru-RU"/>
        </w:rPr>
        <w:t xml:space="preserve"> </w:t>
      </w:r>
      <w:r w:rsidRPr="00735176">
        <w:rPr>
          <w:sz w:val="24"/>
          <w:szCs w:val="24"/>
        </w:rPr>
        <w:t>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lastRenderedPageBreak/>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29EE26C0"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00FC1999">
        <w:rPr>
          <w:rFonts w:eastAsia="Calibri"/>
          <w:sz w:val="24"/>
          <w:szCs w:val="24"/>
        </w:rPr>
        <w:t>, подавший заявку на участие в</w:t>
      </w:r>
      <w:r w:rsidR="00FC1999">
        <w:rPr>
          <w:rFonts w:eastAsia="Calibri"/>
          <w:sz w:val="24"/>
          <w:szCs w:val="24"/>
          <w:lang w:val="ru-RU"/>
        </w:rPr>
        <w:t xml:space="preserve">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00FC1999">
        <w:rPr>
          <w:rFonts w:eastAsia="Calibri"/>
          <w:sz w:val="24"/>
          <w:szCs w:val="24"/>
        </w:rPr>
        <w:t xml:space="preserve"> в</w:t>
      </w:r>
      <w:r w:rsidR="00FC1999">
        <w:rPr>
          <w:rFonts w:eastAsia="Calibri"/>
          <w:sz w:val="24"/>
          <w:szCs w:val="24"/>
          <w:lang w:val="ru-RU"/>
        </w:rPr>
        <w:t xml:space="preserve"> </w:t>
      </w:r>
      <w:r w:rsidR="00FC1999">
        <w:rPr>
          <w:rFonts w:eastAsia="Calibri"/>
          <w:sz w:val="24"/>
          <w:szCs w:val="24"/>
        </w:rPr>
        <w:t>любое время после ее</w:t>
      </w:r>
      <w:r w:rsidR="00FC1999">
        <w:rPr>
          <w:rFonts w:eastAsia="Calibri"/>
          <w:sz w:val="24"/>
          <w:szCs w:val="24"/>
          <w:lang w:val="ru-RU"/>
        </w:rPr>
        <w:t xml:space="preserve"> </w:t>
      </w:r>
      <w:r w:rsidRPr="00EE0D14">
        <w:rPr>
          <w:rFonts w:eastAsia="Calibri"/>
          <w:sz w:val="24"/>
          <w:szCs w:val="24"/>
        </w:rPr>
        <w:t xml:space="preserve">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22808F31" w:rsidR="007E001E" w:rsidRPr="00EE0D14" w:rsidRDefault="00D61A22" w:rsidP="00FC1999">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C30B5">
        <w:rPr>
          <w:sz w:val="24"/>
          <w:szCs w:val="24"/>
          <w:lang w:val="ru-RU"/>
        </w:rPr>
        <w:t>З</w:t>
      </w:r>
      <w:proofErr w:type="spellStart"/>
      <w:r w:rsidR="009A09C3" w:rsidRPr="00EE0D14">
        <w:rPr>
          <w:sz w:val="24"/>
          <w:szCs w:val="24"/>
        </w:rPr>
        <w:t>аказчику</w:t>
      </w:r>
      <w:proofErr w:type="spellEnd"/>
      <w:r w:rsidR="009A09C3" w:rsidRPr="00EE0D14">
        <w:rPr>
          <w:sz w:val="24"/>
          <w:szCs w:val="24"/>
        </w:rPr>
        <w:t xml:space="preserve">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4A7FC77F"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w:t>
      </w:r>
      <w:r w:rsidR="009C30B5">
        <w:rPr>
          <w:sz w:val="24"/>
          <w:szCs w:val="24"/>
        </w:rPr>
        <w:t xml:space="preserve">и проведении повторной закупки </w:t>
      </w:r>
      <w:r w:rsidR="009C30B5">
        <w:rPr>
          <w:sz w:val="24"/>
          <w:szCs w:val="24"/>
          <w:lang w:val="ru-RU"/>
        </w:rPr>
        <w:t>З</w:t>
      </w:r>
      <w:proofErr w:type="spellStart"/>
      <w:r w:rsidRPr="00EE0D14">
        <w:rPr>
          <w:sz w:val="24"/>
          <w:szCs w:val="24"/>
        </w:rPr>
        <w:t>аказчик</w:t>
      </w:r>
      <w:proofErr w:type="spellEnd"/>
      <w:r w:rsidRPr="00EE0D14">
        <w:rPr>
          <w:sz w:val="24"/>
          <w:szCs w:val="24"/>
        </w:rPr>
        <w:t xml:space="preserve">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w:t>
      </w:r>
      <w:r w:rsidRPr="00EE0D14">
        <w:rPr>
          <w:sz w:val="24"/>
          <w:szCs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1926BFD3"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00FC1999">
        <w:rPr>
          <w:sz w:val="24"/>
          <w:szCs w:val="24"/>
        </w:rPr>
        <w:t xml:space="preserve"> миллионов рублей.</w:t>
      </w:r>
    </w:p>
    <w:p w14:paraId="410616AB" w14:textId="052B0C85"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участник должен предоставить обеспечение заявки в размере и валюте соглас</w:t>
      </w:r>
      <w:r w:rsidR="00FC1999">
        <w:rPr>
          <w:rFonts w:eastAsia="Calibri"/>
          <w:sz w:val="24"/>
          <w:szCs w:val="24"/>
        </w:rPr>
        <w:t>но требованиям, установленным в</w:t>
      </w:r>
      <w:r w:rsidR="00FC1999">
        <w:rPr>
          <w:rFonts w:eastAsia="Calibri"/>
          <w:sz w:val="24"/>
          <w:szCs w:val="24"/>
          <w:lang w:val="ru-RU"/>
        </w:rPr>
        <w:t xml:space="preserve"> </w:t>
      </w:r>
      <w:r w:rsidRPr="00EE0D14">
        <w:rPr>
          <w:rFonts w:eastAsia="Calibri"/>
          <w:sz w:val="24"/>
          <w:szCs w:val="24"/>
        </w:rPr>
        <w:t xml:space="preserve">извещении о проведении </w:t>
      </w:r>
      <w:r>
        <w:rPr>
          <w:rFonts w:eastAsia="Calibri"/>
          <w:sz w:val="24"/>
          <w:szCs w:val="24"/>
        </w:rPr>
        <w:t>ценового отбора.</w:t>
      </w:r>
      <w:r w:rsidR="00832718" w:rsidRPr="00193912">
        <w:rPr>
          <w:sz w:val="24"/>
          <w:szCs w:val="24"/>
        </w:rPr>
        <w:t xml:space="preserve"> </w:t>
      </w:r>
    </w:p>
    <w:p w14:paraId="21A064DB" w14:textId="6CB4C2E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FC1999">
        <w:rPr>
          <w:rFonts w:eastAsia="Calibri"/>
          <w:sz w:val="24"/>
          <w:szCs w:val="24"/>
        </w:rPr>
        <w:t>.</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 xml:space="preserve">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w:t>
      </w:r>
      <w:r w:rsidR="00543BB6" w:rsidRPr="00735176">
        <w:rPr>
          <w:sz w:val="24"/>
          <w:szCs w:val="24"/>
        </w:rPr>
        <w:lastRenderedPageBreak/>
        <w:t>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4C91237F" w:rsidR="00BF1AE7" w:rsidRPr="006A0580" w:rsidRDefault="009C30B5" w:rsidP="00E307FC">
      <w:pPr>
        <w:numPr>
          <w:ilvl w:val="0"/>
          <w:numId w:val="32"/>
        </w:numPr>
        <w:tabs>
          <w:tab w:val="left" w:pos="993"/>
        </w:tabs>
        <w:ind w:left="0" w:firstLineChars="295" w:firstLine="708"/>
        <w:jc w:val="both"/>
        <w:rPr>
          <w:rFonts w:ascii="Times New Roman" w:hAnsi="Times New Roman"/>
        </w:rPr>
      </w:pPr>
      <w:r>
        <w:rPr>
          <w:rFonts w:ascii="Times New Roman" w:hAnsi="Times New Roman"/>
        </w:rPr>
        <w:t xml:space="preserve">обязанность гаранта уплатить </w:t>
      </w:r>
      <w:r>
        <w:rPr>
          <w:rFonts w:ascii="Times New Roman" w:hAnsi="Times New Roman"/>
          <w:lang w:val="ru-RU"/>
        </w:rPr>
        <w:t>З</w:t>
      </w:r>
      <w:proofErr w:type="spellStart"/>
      <w:r w:rsidR="00BF1AE7" w:rsidRPr="006A0580">
        <w:rPr>
          <w:rFonts w:ascii="Times New Roman" w:hAnsi="Times New Roman"/>
        </w:rPr>
        <w:t>аказчику</w:t>
      </w:r>
      <w:proofErr w:type="spellEnd"/>
      <w:r w:rsidR="00BF1AE7" w:rsidRPr="006A0580">
        <w:rPr>
          <w:rFonts w:ascii="Times New Roman" w:hAnsi="Times New Roman"/>
        </w:rPr>
        <w:t xml:space="preserve">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00BF1AE7"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C1999">
      <w:pPr>
        <w:numPr>
          <w:ilvl w:val="0"/>
          <w:numId w:val="53"/>
        </w:numPr>
        <w:tabs>
          <w:tab w:val="left" w:pos="142"/>
          <w:tab w:val="left" w:pos="993"/>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FC1999">
      <w:pPr>
        <w:numPr>
          <w:ilvl w:val="0"/>
          <w:numId w:val="53"/>
        </w:numPr>
        <w:tabs>
          <w:tab w:val="left" w:pos="142"/>
          <w:tab w:val="left" w:pos="993"/>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w:t>
      </w:r>
      <w:r w:rsidR="00567643">
        <w:rPr>
          <w:rFonts w:ascii="Times New Roman" w:hAnsi="Times New Roman"/>
          <w:lang w:val="ru-RU"/>
        </w:rPr>
        <w:lastRenderedPageBreak/>
        <w:t>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2765AFB0"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w:t>
      </w:r>
      <w:r w:rsidR="009C30B5">
        <w:rPr>
          <w:rFonts w:ascii="Times New Roman" w:eastAsia="Times New Roman" w:hAnsi="Times New Roman" w:cs="Times New Roman"/>
        </w:rPr>
        <w:t xml:space="preserve">ень документов, представляемых </w:t>
      </w:r>
      <w:r w:rsidR="009C30B5">
        <w:rPr>
          <w:rFonts w:ascii="Times New Roman" w:eastAsia="Times New Roman" w:hAnsi="Times New Roman" w:cs="Times New Roman"/>
          <w:lang w:val="ru-RU"/>
        </w:rPr>
        <w:t>З</w:t>
      </w:r>
      <w:r w:rsidR="00BF1AE7" w:rsidRPr="006A0580">
        <w:rPr>
          <w:rFonts w:ascii="Times New Roman" w:eastAsia="Times New Roman" w:hAnsi="Times New Roman" w:cs="Times New Roman"/>
        </w:rPr>
        <w:t xml:space="preserve">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47C53866" w:rsidR="003754A0" w:rsidRPr="00FC1999" w:rsidRDefault="003754A0" w:rsidP="00FC1999">
      <w:pPr>
        <w:pStyle w:val="3"/>
        <w:tabs>
          <w:tab w:val="left" w:pos="1418"/>
          <w:tab w:val="left" w:pos="1560"/>
        </w:tabs>
        <w:ind w:left="0"/>
        <w:rPr>
          <w:sz w:val="24"/>
          <w:szCs w:val="24"/>
        </w:rPr>
      </w:pPr>
      <w:r w:rsidRPr="00FC1999">
        <w:rPr>
          <w:sz w:val="24"/>
          <w:szCs w:val="24"/>
        </w:rPr>
        <w:t>Сроки возврата обеспечения заявки на участие в закупке  указаны в ч. 4.4.10 ст. 4.4 Положения о закупке.</w:t>
      </w:r>
    </w:p>
    <w:p w14:paraId="49F2B45B" w14:textId="74118B86" w:rsidR="003754A0" w:rsidRPr="00FC1999" w:rsidRDefault="00C54930" w:rsidP="003754A0">
      <w:pPr>
        <w:pStyle w:val="3"/>
        <w:tabs>
          <w:tab w:val="left" w:pos="1560"/>
        </w:tabs>
        <w:ind w:left="0"/>
        <w:rPr>
          <w:sz w:val="24"/>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r w:rsidR="003754A0" w:rsidRPr="00FC1999">
        <w:rPr>
          <w:sz w:val="24"/>
          <w:szCs w:val="24"/>
        </w:rPr>
        <w:t>При этом срок возврата обеспечения после подведения итогов по результатам рассмотренной жалобы устанавлив</w:t>
      </w:r>
      <w:r w:rsidR="00093BDF" w:rsidRPr="00FC1999">
        <w:rPr>
          <w:sz w:val="24"/>
          <w:szCs w:val="24"/>
        </w:rPr>
        <w:t>ается с учетом ч. 4.4.</w:t>
      </w:r>
      <w:r w:rsidR="00093BDF" w:rsidRPr="00FC1999">
        <w:rPr>
          <w:sz w:val="24"/>
          <w:szCs w:val="24"/>
          <w:lang w:val="ru-RU"/>
        </w:rPr>
        <w:t>10</w:t>
      </w:r>
      <w:r w:rsidR="003754A0" w:rsidRPr="00FC1999">
        <w:rPr>
          <w:sz w:val="24"/>
          <w:szCs w:val="24"/>
        </w:rPr>
        <w:t xml:space="preserve"> ст. 4.4 Положения о закупке.</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000F1BAC" w14:textId="08B68680" w:rsidR="008A064D" w:rsidRPr="007371A5" w:rsidRDefault="0053775D" w:rsidP="007371A5">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 xml:space="preserve">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w:t>
      </w:r>
      <w:r w:rsidRPr="00797F48">
        <w:rPr>
          <w:sz w:val="24"/>
          <w:szCs w:val="24"/>
        </w:rPr>
        <w:lastRenderedPageBreak/>
        <w:t>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w:t>
      </w:r>
      <w:r w:rsidR="00F43E31" w:rsidRPr="00EE0D14">
        <w:rPr>
          <w:sz w:val="24"/>
          <w:szCs w:val="24"/>
        </w:rPr>
        <w:lastRenderedPageBreak/>
        <w:t xml:space="preserve">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41FA589A"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w:t>
      </w:r>
      <w:r w:rsidR="009C30B5">
        <w:rPr>
          <w:sz w:val="24"/>
          <w:szCs w:val="24"/>
        </w:rPr>
        <w:t xml:space="preserve">и проведении повторной закупки </w:t>
      </w:r>
      <w:r w:rsidR="009C30B5">
        <w:rPr>
          <w:sz w:val="24"/>
          <w:szCs w:val="24"/>
          <w:lang w:val="ru-RU"/>
        </w:rPr>
        <w:t>З</w:t>
      </w:r>
      <w:proofErr w:type="spellStart"/>
      <w:r w:rsidRPr="00EE0D14">
        <w:rPr>
          <w:sz w:val="24"/>
          <w:szCs w:val="24"/>
        </w:rPr>
        <w:t>аказчик</w:t>
      </w:r>
      <w:proofErr w:type="spellEnd"/>
      <w:r w:rsidRPr="00EE0D14">
        <w:rPr>
          <w:sz w:val="24"/>
          <w:szCs w:val="24"/>
        </w:rPr>
        <w:t xml:space="preserve">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lastRenderedPageBreak/>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w:t>
      </w:r>
      <w:r w:rsidR="00DA25DF" w:rsidRPr="00EE0D14">
        <w:rPr>
          <w:rFonts w:eastAsia="Calibri"/>
          <w:sz w:val="24"/>
          <w:szCs w:val="24"/>
        </w:rPr>
        <w:lastRenderedPageBreak/>
        <w:t xml:space="preserve">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D4083B">
      <w:pPr>
        <w:pStyle w:val="20"/>
        <w:tabs>
          <w:tab w:val="left" w:pos="1134"/>
          <w:tab w:val="left" w:pos="1276"/>
        </w:tabs>
        <w:ind w:left="0"/>
        <w:rPr>
          <w:rFonts w:eastAsia="Calibri"/>
          <w:sz w:val="24"/>
          <w:szCs w:val="24"/>
        </w:rPr>
      </w:pPr>
      <w:r w:rsidRPr="00EE0D14">
        <w:rPr>
          <w:rFonts w:eastAsia="Calibri"/>
          <w:sz w:val="24"/>
          <w:szCs w:val="24"/>
        </w:rPr>
        <w:lastRenderedPageBreak/>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D4083B">
      <w:pPr>
        <w:pStyle w:val="20"/>
        <w:tabs>
          <w:tab w:val="left" w:pos="1134"/>
          <w:tab w:val="left" w:pos="1276"/>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0697E7A"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w:t>
      </w:r>
      <w:r w:rsidR="009C30B5">
        <w:rPr>
          <w:sz w:val="24"/>
          <w:szCs w:val="24"/>
        </w:rPr>
        <w:t xml:space="preserve">и проведении повторной закупки </w:t>
      </w:r>
      <w:r w:rsidR="009C30B5">
        <w:rPr>
          <w:sz w:val="24"/>
          <w:szCs w:val="24"/>
          <w:lang w:val="ru-RU"/>
        </w:rPr>
        <w:t>З</w:t>
      </w:r>
      <w:proofErr w:type="spellStart"/>
      <w:r w:rsidRPr="00EE0D14">
        <w:rPr>
          <w:sz w:val="24"/>
          <w:szCs w:val="24"/>
        </w:rPr>
        <w:t>аказчик</w:t>
      </w:r>
      <w:proofErr w:type="spellEnd"/>
      <w:r w:rsidRPr="00EE0D14">
        <w:rPr>
          <w:sz w:val="24"/>
          <w:szCs w:val="24"/>
        </w:rPr>
        <w:t xml:space="preserve">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201AFC5"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D4083B">
        <w:rPr>
          <w:sz w:val="24"/>
          <w:szCs w:val="24"/>
          <w:lang w:val="ru-RU"/>
        </w:rPr>
        <w:t>З</w:t>
      </w:r>
      <w:proofErr w:type="spellStart"/>
      <w:r w:rsidR="009A5350" w:rsidRPr="00EE0D14">
        <w:rPr>
          <w:sz w:val="24"/>
          <w:szCs w:val="24"/>
        </w:rPr>
        <w:t>аказчику</w:t>
      </w:r>
      <w:proofErr w:type="spellEnd"/>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1F82D2CB"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w:t>
      </w:r>
      <w:r w:rsidR="00D4083B">
        <w:rPr>
          <w:sz w:val="24"/>
          <w:szCs w:val="24"/>
        </w:rPr>
        <w:t>ась, принимает решение о</w:t>
      </w:r>
      <w:r w:rsidR="00D4083B">
        <w:rPr>
          <w:sz w:val="24"/>
          <w:szCs w:val="24"/>
          <w:lang w:val="ru-RU"/>
        </w:rPr>
        <w:t xml:space="preserve"> </w:t>
      </w:r>
      <w:r w:rsidR="0023157A" w:rsidRPr="00EE0D14">
        <w:rPr>
          <w:sz w:val="24"/>
          <w:szCs w:val="24"/>
        </w:rPr>
        <w:t>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6884DDE4"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009C30B5">
        <w:rPr>
          <w:sz w:val="24"/>
          <w:szCs w:val="24"/>
        </w:rPr>
        <w:t xml:space="preserve"> </w:t>
      </w:r>
      <w:r w:rsidR="009C30B5">
        <w:rPr>
          <w:sz w:val="24"/>
          <w:szCs w:val="24"/>
          <w:lang w:val="ru-RU"/>
        </w:rPr>
        <w:t>З</w:t>
      </w:r>
      <w:proofErr w:type="spellStart"/>
      <w:r w:rsidRPr="00EE0D14">
        <w:rPr>
          <w:sz w:val="24"/>
          <w:szCs w:val="24"/>
        </w:rPr>
        <w:t>аказчик</w:t>
      </w:r>
      <w:proofErr w:type="spellEnd"/>
      <w:r w:rsidRPr="00EE0D14">
        <w:rPr>
          <w:sz w:val="24"/>
          <w:szCs w:val="24"/>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w:t>
      </w:r>
      <w:r w:rsidRPr="00EE0D14">
        <w:rPr>
          <w:sz w:val="24"/>
          <w:szCs w:val="24"/>
        </w:rPr>
        <w:lastRenderedPageBreak/>
        <w:t xml:space="preserve">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8227B8">
      <w:pPr>
        <w:pStyle w:val="afff"/>
        <w:spacing w:before="0" w:beforeAutospacing="0" w:after="0" w:afterAutospacing="0"/>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8227B8">
      <w:pPr>
        <w:pStyle w:val="afff"/>
        <w:spacing w:before="0" w:beforeAutospacing="0" w:after="0" w:afterAutospacing="0"/>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w:t>
      </w:r>
      <w:r w:rsidR="004C63A9" w:rsidRPr="00EE0D14">
        <w:rPr>
          <w:sz w:val="24"/>
          <w:szCs w:val="24"/>
        </w:rPr>
        <w:lastRenderedPageBreak/>
        <w:t xml:space="preserve">устанавливаются в </w:t>
      </w:r>
      <w:r w:rsidRPr="00EE0D14">
        <w:rPr>
          <w:sz w:val="24"/>
          <w:szCs w:val="24"/>
        </w:rPr>
        <w:t>п. 1.14 Информационной карты.</w:t>
      </w:r>
    </w:p>
    <w:p w14:paraId="74775DAB" w14:textId="1DBB7E79"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w:t>
      </w:r>
      <w:r w:rsidR="00D4083B">
        <w:rPr>
          <w:sz w:val="24"/>
          <w:szCs w:val="24"/>
        </w:rPr>
        <w:t>вается и размещается в ЕИС и на</w:t>
      </w:r>
      <w:r w:rsidR="00D4083B">
        <w:rPr>
          <w:sz w:val="24"/>
          <w:szCs w:val="24"/>
          <w:lang w:val="ru-RU"/>
        </w:rPr>
        <w:t xml:space="preserve"> </w:t>
      </w:r>
      <w:r w:rsidRPr="00EE0D14">
        <w:rPr>
          <w:sz w:val="24"/>
          <w:szCs w:val="24"/>
        </w:rPr>
        <w:t>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42953DCC"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w:t>
      </w:r>
      <w:r w:rsidR="009C30B5">
        <w:rPr>
          <w:sz w:val="24"/>
          <w:szCs w:val="24"/>
        </w:rPr>
        <w:t xml:space="preserve"> направить </w:t>
      </w:r>
      <w:r w:rsidR="009C30B5">
        <w:rPr>
          <w:sz w:val="24"/>
          <w:szCs w:val="24"/>
          <w:lang w:val="ru-RU"/>
        </w:rPr>
        <w:t>З</w:t>
      </w:r>
      <w:proofErr w:type="spellStart"/>
      <w:r w:rsidRPr="00EE0D14">
        <w:rPr>
          <w:sz w:val="24"/>
          <w:szCs w:val="24"/>
        </w:rPr>
        <w:t>аказчику</w:t>
      </w:r>
      <w:proofErr w:type="spellEnd"/>
      <w:r w:rsidRPr="00EE0D14">
        <w:rPr>
          <w:sz w:val="24"/>
          <w:szCs w:val="24"/>
        </w:rPr>
        <w:t xml:space="preserve">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2442CB33"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009C30B5">
        <w:rPr>
          <w:sz w:val="24"/>
          <w:szCs w:val="24"/>
        </w:rPr>
        <w:t xml:space="preserve">, </w:t>
      </w:r>
      <w:r w:rsidR="009C30B5">
        <w:rPr>
          <w:sz w:val="24"/>
          <w:szCs w:val="24"/>
          <w:lang w:val="ru-RU"/>
        </w:rPr>
        <w:t>З</w:t>
      </w:r>
      <w:proofErr w:type="spellStart"/>
      <w:r w:rsidRPr="00EE0D14">
        <w:rPr>
          <w:sz w:val="24"/>
          <w:szCs w:val="24"/>
        </w:rPr>
        <w:t>аказчик</w:t>
      </w:r>
      <w:proofErr w:type="spellEnd"/>
      <w:r w:rsidRPr="00EE0D14">
        <w:rPr>
          <w:sz w:val="24"/>
          <w:szCs w:val="24"/>
        </w:rPr>
        <w:t xml:space="preserve">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413FAE96"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w:t>
      </w:r>
      <w:r w:rsidR="009C30B5">
        <w:rPr>
          <w:sz w:val="24"/>
          <w:szCs w:val="24"/>
        </w:rPr>
        <w:t xml:space="preserve">и проведении повторной закупки </w:t>
      </w:r>
      <w:r w:rsidR="009C30B5">
        <w:rPr>
          <w:sz w:val="24"/>
          <w:szCs w:val="24"/>
          <w:lang w:val="ru-RU"/>
        </w:rPr>
        <w:t>З</w:t>
      </w:r>
      <w:proofErr w:type="spellStart"/>
      <w:r w:rsidRPr="00EE0D14">
        <w:rPr>
          <w:sz w:val="24"/>
          <w:szCs w:val="24"/>
        </w:rPr>
        <w:t>аказчик</w:t>
      </w:r>
      <w:proofErr w:type="spellEnd"/>
      <w:r w:rsidRPr="00EE0D14">
        <w:rPr>
          <w:sz w:val="24"/>
          <w:szCs w:val="24"/>
        </w:rPr>
        <w:t xml:space="preserve">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lastRenderedPageBreak/>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57AE1D0F" w:rsidR="00FE7CB0" w:rsidRDefault="00FE7CB0" w:rsidP="00EE0D14">
      <w:pPr>
        <w:pStyle w:val="3"/>
        <w:ind w:left="0"/>
        <w:rPr>
          <w:sz w:val="24"/>
          <w:szCs w:val="24"/>
        </w:rPr>
      </w:pPr>
      <w:r w:rsidRPr="00EE0D14">
        <w:rPr>
          <w:sz w:val="24"/>
          <w:szCs w:val="24"/>
        </w:rPr>
        <w:t xml:space="preserve">В случае необходимости одобрения </w:t>
      </w:r>
      <w:r w:rsidR="00596964">
        <w:rPr>
          <w:sz w:val="24"/>
          <w:szCs w:val="24"/>
        </w:rPr>
        <w:t xml:space="preserve">органом управления </w:t>
      </w:r>
      <w:r w:rsidR="00596964">
        <w:rPr>
          <w:sz w:val="24"/>
          <w:szCs w:val="24"/>
          <w:lang w:val="ru-RU"/>
        </w:rPr>
        <w:t>З</w:t>
      </w:r>
      <w:proofErr w:type="spellStart"/>
      <w:r w:rsidR="00F50E55">
        <w:rPr>
          <w:sz w:val="24"/>
          <w:szCs w:val="24"/>
        </w:rPr>
        <w:t>аказчика</w:t>
      </w:r>
      <w:proofErr w:type="spellEnd"/>
      <w:r w:rsidR="00F50E55">
        <w:rPr>
          <w:sz w:val="24"/>
          <w:szCs w:val="24"/>
        </w:rPr>
        <w:t xml:space="preserve">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 xml:space="preserve">Участник закупки, с которым заключается договор, в течение 5 (пяти) дней </w:t>
      </w:r>
      <w:r w:rsidRPr="00EE0D14">
        <w:rPr>
          <w:sz w:val="24"/>
          <w:szCs w:val="24"/>
        </w:rPr>
        <w:lastRenderedPageBreak/>
        <w:t>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51B745A3"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5721ACB"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4C8F86F4"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r w:rsidR="009C30B5">
        <w:rPr>
          <w:sz w:val="24"/>
          <w:szCs w:val="24"/>
          <w:lang w:val="ru-RU"/>
        </w:rPr>
        <w:t>.</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w:t>
      </w:r>
      <w:r w:rsidRPr="00EE0D14">
        <w:rPr>
          <w:sz w:val="24"/>
          <w:szCs w:val="24"/>
        </w:rPr>
        <w:lastRenderedPageBreak/>
        <w:t xml:space="preserve">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6849F41A"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p>
    <w:p w14:paraId="4213C654" w14:textId="77566FAD"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C30B5">
        <w:rPr>
          <w:sz w:val="24"/>
          <w:szCs w:val="24"/>
        </w:rPr>
        <w:t>х такому участнику.</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w:t>
      </w:r>
      <w:r w:rsidRPr="00EE0D14">
        <w:rPr>
          <w:sz w:val="24"/>
          <w:szCs w:val="24"/>
        </w:rPr>
        <w:lastRenderedPageBreak/>
        <w:t xml:space="preserve">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3A08F35C" w:rsidR="007D39D9" w:rsidRPr="00EE0D14" w:rsidRDefault="00DE4C17" w:rsidP="00EE0D14">
      <w:pPr>
        <w:pStyle w:val="3"/>
        <w:tabs>
          <w:tab w:val="left" w:pos="1560"/>
        </w:tabs>
        <w:ind w:left="0"/>
        <w:rPr>
          <w:sz w:val="24"/>
          <w:szCs w:val="24"/>
        </w:rPr>
      </w:pPr>
      <w:r w:rsidRPr="00190C71">
        <w:rPr>
          <w:sz w:val="24"/>
          <w:szCs w:val="24"/>
        </w:rPr>
        <w:t>При уклонении участника закупки, с которым заключается договор, от заключения договора, не позднее 3 (трех) рабочих дней с момента оконч</w:t>
      </w:r>
      <w:r w:rsidR="00596964">
        <w:rPr>
          <w:sz w:val="24"/>
          <w:szCs w:val="24"/>
        </w:rPr>
        <w:t xml:space="preserve">ания срока подписания договора </w:t>
      </w:r>
      <w:r w:rsidR="00596964">
        <w:rPr>
          <w:sz w:val="24"/>
          <w:szCs w:val="24"/>
          <w:lang w:val="ru-RU"/>
        </w:rPr>
        <w:t>З</w:t>
      </w:r>
      <w:r w:rsidRPr="00190C71">
        <w:rPr>
          <w:sz w:val="24"/>
          <w:szCs w:val="24"/>
        </w:rPr>
        <w:t xml:space="preserve">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p>
    <w:p w14:paraId="3B53D5F4" w14:textId="083A1AA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w:t>
      </w:r>
      <w:r w:rsidR="009C30B5">
        <w:rPr>
          <w:sz w:val="24"/>
          <w:szCs w:val="24"/>
        </w:rPr>
        <w:t>исвоен второй порядковый номер.</w:t>
      </w:r>
    </w:p>
    <w:p w14:paraId="1A43C08B" w14:textId="50E8C7FC"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порядковый номе</w:t>
      </w:r>
      <w:r w:rsidR="009C30B5">
        <w:rPr>
          <w:sz w:val="24"/>
          <w:szCs w:val="24"/>
        </w:rPr>
        <w:t>р, с согласия такого участника.</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5C72F901" w:rsidR="00B82AF0" w:rsidRPr="00EE0D14" w:rsidRDefault="00B82AF0" w:rsidP="00EE0D14">
      <w:pPr>
        <w:pStyle w:val="3"/>
        <w:tabs>
          <w:tab w:val="left" w:pos="1560"/>
        </w:tabs>
        <w:ind w:left="0"/>
        <w:rPr>
          <w:sz w:val="24"/>
          <w:szCs w:val="24"/>
        </w:rPr>
      </w:pPr>
      <w:r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Pr="00EE0D14">
        <w:rPr>
          <w:sz w:val="24"/>
          <w:szCs w:val="24"/>
        </w:rPr>
        <w:t>.</w:t>
      </w:r>
    </w:p>
    <w:p w14:paraId="69538F65" w14:textId="1CFEF105" w:rsidR="007D39D9" w:rsidRPr="00596964" w:rsidRDefault="007D39D9" w:rsidP="00EE0D14">
      <w:pPr>
        <w:pStyle w:val="3"/>
        <w:tabs>
          <w:tab w:val="left" w:pos="1560"/>
        </w:tabs>
        <w:ind w:left="0"/>
        <w:rPr>
          <w:bCs/>
          <w:iCs/>
          <w:sz w:val="24"/>
          <w:szCs w:val="24"/>
        </w:rPr>
      </w:pP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21775EDF"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 xml:space="preserve">провести повторную закупку. При проведении повторной закупки </w:t>
      </w:r>
      <w:r w:rsidR="00596964">
        <w:rPr>
          <w:sz w:val="24"/>
          <w:lang w:val="ru-RU"/>
        </w:rPr>
        <w:t>З</w:t>
      </w:r>
      <w:proofErr w:type="spellStart"/>
      <w:r w:rsidRPr="00EE0D14">
        <w:rPr>
          <w:sz w:val="24"/>
        </w:rPr>
        <w:t>аказчик</w:t>
      </w:r>
      <w:proofErr w:type="spellEnd"/>
      <w:r w:rsidRPr="00EE0D14">
        <w:rPr>
          <w:sz w:val="24"/>
        </w:rPr>
        <w:t xml:space="preserve">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lastRenderedPageBreak/>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37C48505"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w:t>
      </w:r>
      <w:r w:rsidR="009C30B5">
        <w:rPr>
          <w:rFonts w:eastAsia="Calibri"/>
          <w:sz w:val="24"/>
          <w:szCs w:val="24"/>
        </w:rPr>
        <w:t xml:space="preserve"> которым заключается договор, в</w:t>
      </w:r>
      <w:r w:rsidR="009C30B5">
        <w:rPr>
          <w:rFonts w:eastAsia="Calibri"/>
          <w:sz w:val="24"/>
          <w:szCs w:val="24"/>
          <w:lang w:val="ru-RU"/>
        </w:rPr>
        <w:t xml:space="preserve"> </w:t>
      </w:r>
      <w:r w:rsidRPr="00EE0D14">
        <w:rPr>
          <w:rFonts w:eastAsia="Calibri"/>
          <w:sz w:val="24"/>
          <w:szCs w:val="24"/>
        </w:rPr>
        <w:t xml:space="preserve">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lastRenderedPageBreak/>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5C7EC090"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w:t>
      </w:r>
      <w:r w:rsidR="00596964">
        <w:rPr>
          <w:sz w:val="24"/>
          <w:szCs w:val="24"/>
          <w:lang w:val="ru-RU"/>
        </w:rPr>
        <w:t>З</w:t>
      </w:r>
      <w:r w:rsidR="00D160D6" w:rsidRPr="00FB2F62">
        <w:rPr>
          <w:sz w:val="24"/>
          <w:szCs w:val="24"/>
        </w:rPr>
        <w:t>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0CAEF333" w:rsidR="004755C2" w:rsidRPr="00CF1F7F" w:rsidRDefault="00D90131" w:rsidP="004755C2">
      <w:pPr>
        <w:pStyle w:val="3"/>
        <w:tabs>
          <w:tab w:val="left" w:pos="1276"/>
        </w:tabs>
        <w:ind w:left="0"/>
        <w:rPr>
          <w:sz w:val="24"/>
          <w:szCs w:val="24"/>
        </w:rPr>
      </w:pPr>
      <w:r>
        <w:rPr>
          <w:sz w:val="24"/>
          <w:szCs w:val="24"/>
          <w:lang w:val="ru-RU"/>
        </w:rPr>
        <w:t xml:space="preserve">Частью </w:t>
      </w:r>
      <w:r>
        <w:rPr>
          <w:sz w:val="24"/>
          <w:szCs w:val="24"/>
          <w:lang w:val="en-US"/>
        </w:rPr>
        <w:t>II</w:t>
      </w:r>
      <w:r w:rsidRPr="002D4CFF">
        <w:rPr>
          <w:sz w:val="24"/>
          <w:szCs w:val="24"/>
          <w:lang w:val="ru-RU"/>
        </w:rPr>
        <w:t xml:space="preserve"> </w:t>
      </w:r>
      <w:r>
        <w:rPr>
          <w:sz w:val="24"/>
          <w:szCs w:val="24"/>
          <w:lang w:val="ru-RU"/>
        </w:rPr>
        <w:t>«</w:t>
      </w:r>
      <w:r w:rsidR="004755C2" w:rsidRPr="00CF1F7F">
        <w:rPr>
          <w:sz w:val="24"/>
          <w:szCs w:val="24"/>
        </w:rPr>
        <w:t>Информационн</w:t>
      </w:r>
      <w:r>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09693A99"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обязанность гаранта уплатить </w:t>
      </w:r>
      <w:r w:rsidR="00596964">
        <w:rPr>
          <w:rFonts w:ascii="Times New Roman" w:hAnsi="Times New Roman"/>
          <w:lang w:val="ru-RU"/>
        </w:rPr>
        <w:t>З</w:t>
      </w:r>
      <w:proofErr w:type="spellStart"/>
      <w:r w:rsidRPr="00667662">
        <w:rPr>
          <w:rFonts w:ascii="Times New Roman" w:hAnsi="Times New Roman"/>
        </w:rPr>
        <w:t>аказчику</w:t>
      </w:r>
      <w:proofErr w:type="spellEnd"/>
      <w:r w:rsidRPr="00667662">
        <w:rPr>
          <w:rFonts w:ascii="Times New Roman" w:hAnsi="Times New Roman"/>
        </w:rPr>
        <w:t xml:space="preserve">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9C30B5" w:rsidRDefault="00681681" w:rsidP="009C30B5">
      <w:pPr>
        <w:numPr>
          <w:ilvl w:val="0"/>
          <w:numId w:val="32"/>
        </w:numPr>
        <w:tabs>
          <w:tab w:val="left" w:pos="851"/>
          <w:tab w:val="left" w:pos="1134"/>
        </w:tabs>
        <w:ind w:left="0" w:firstLineChars="253" w:firstLine="607"/>
        <w:jc w:val="both"/>
        <w:rPr>
          <w:rFonts w:ascii="Times New Roman" w:hAnsi="Times New Roman"/>
        </w:rPr>
      </w:pPr>
      <w:r w:rsidRPr="009C30B5">
        <w:rPr>
          <w:rFonts w:ascii="Times New Roman" w:hAnsi="Times New Roman"/>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596964"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9C30B5" w:rsidRDefault="00567F6E" w:rsidP="00567F6E">
      <w:pPr>
        <w:pStyle w:val="3"/>
        <w:tabs>
          <w:tab w:val="left" w:pos="1276"/>
          <w:tab w:val="left" w:pos="1560"/>
        </w:tabs>
        <w:ind w:left="0"/>
        <w:rPr>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9C30B5"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9C30B5" w:rsidRDefault="00E16D17" w:rsidP="00E16D17">
      <w:pPr>
        <w:ind w:firstLine="709"/>
        <w:jc w:val="both"/>
        <w:rPr>
          <w:rFonts w:ascii="Times New Roman" w:eastAsia="Times New Roman" w:hAnsi="Times New Roman"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w:t>
      </w:r>
      <w:r w:rsidRPr="00667662">
        <w:rPr>
          <w:rFonts w:ascii="Times New Roman" w:eastAsia="Times New Roman" w:hAnsi="Times New Roman" w:cs="Times New Roman"/>
        </w:rPr>
        <w:lastRenderedPageBreak/>
        <w:t xml:space="preserve">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4D6BF7CF" w:rsidR="00151748" w:rsidRPr="00EE0D14" w:rsidRDefault="00E00E18" w:rsidP="00FB2F62">
      <w:pPr>
        <w:pStyle w:val="3"/>
        <w:ind w:left="0"/>
        <w:rPr>
          <w:sz w:val="24"/>
          <w:szCs w:val="24"/>
        </w:rPr>
      </w:pPr>
      <w:r w:rsidRPr="00FB2F62">
        <w:rPr>
          <w:sz w:val="24"/>
          <w:szCs w:val="24"/>
        </w:rPr>
        <w:t xml:space="preserve">В ходе исполнения договора поставщик (исполнитель, </w:t>
      </w:r>
      <w:r w:rsidR="00596964">
        <w:rPr>
          <w:sz w:val="24"/>
          <w:szCs w:val="24"/>
        </w:rPr>
        <w:t xml:space="preserve">подрядчик) вправе предоставить </w:t>
      </w:r>
      <w:r w:rsidR="00596964">
        <w:rPr>
          <w:sz w:val="24"/>
          <w:szCs w:val="24"/>
          <w:lang w:val="ru-RU"/>
        </w:rPr>
        <w:t>З</w:t>
      </w:r>
      <w:proofErr w:type="spellStart"/>
      <w:r w:rsidRPr="00FB2F62">
        <w:rPr>
          <w:sz w:val="24"/>
          <w:szCs w:val="24"/>
        </w:rPr>
        <w:t>аказчику</w:t>
      </w:r>
      <w:proofErr w:type="spellEnd"/>
      <w:r w:rsidRPr="00FB2F62">
        <w:rPr>
          <w:sz w:val="24"/>
          <w:szCs w:val="24"/>
        </w:rPr>
        <w:t xml:space="preserve">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55356778" w:rsidR="00C6666D" w:rsidRPr="009C30B5" w:rsidRDefault="007408A8" w:rsidP="00C6666D">
      <w:pPr>
        <w:pStyle w:val="3"/>
        <w:ind w:left="0"/>
        <w:rPr>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w:t>
      </w:r>
      <w:r w:rsidR="009C30B5">
        <w:rPr>
          <w:sz w:val="24"/>
          <w:szCs w:val="24"/>
        </w:rPr>
        <w:t xml:space="preserve">Положения о закупке) более чем </w:t>
      </w:r>
      <w:r w:rsidRPr="007408A8">
        <w:rPr>
          <w:sz w:val="24"/>
          <w:szCs w:val="24"/>
        </w:rPr>
        <w:t xml:space="preserve">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p>
    <w:p w14:paraId="1385B12C" w14:textId="7CCF3EEE" w:rsidR="00C6666D" w:rsidRPr="00596964" w:rsidRDefault="007408A8" w:rsidP="00C6666D">
      <w:pPr>
        <w:pStyle w:val="3"/>
        <w:ind w:left="0"/>
        <w:rPr>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w:t>
      </w:r>
      <w:r w:rsidRPr="007408A8">
        <w:rPr>
          <w:sz w:val="24"/>
          <w:szCs w:val="24"/>
        </w:rPr>
        <w:lastRenderedPageBreak/>
        <w:t>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p>
    <w:p w14:paraId="0AEA93AB" w14:textId="7A4502AA" w:rsidR="00C6666D" w:rsidRPr="00596964" w:rsidRDefault="00D31C84" w:rsidP="00C6666D">
      <w:pPr>
        <w:pStyle w:val="3"/>
        <w:ind w:left="0"/>
        <w:rPr>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EBC696C" w14:textId="32EA5BA0" w:rsidR="008702DF" w:rsidRPr="009C30B5" w:rsidRDefault="006B6CEA" w:rsidP="009C30B5">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w:t>
      </w:r>
      <w:r w:rsidR="003476EA" w:rsidRPr="00AA4672">
        <w:rPr>
          <w:sz w:val="24"/>
          <w:szCs w:val="24"/>
          <w:lang w:val="ru-RU"/>
        </w:rPr>
        <w:lastRenderedPageBreak/>
        <w:t>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045D681B"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0007A61C"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6C3AF819" w:rsidR="00D251C8"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47C338F0" w14:textId="6801C90D" w:rsidR="004C2709" w:rsidRPr="00AA4672" w:rsidRDefault="003476EA">
      <w:pPr>
        <w:pStyle w:val="20"/>
        <w:tabs>
          <w:tab w:val="left" w:pos="1276"/>
        </w:tabs>
        <w:ind w:left="0"/>
        <w:rPr>
          <w:sz w:val="24"/>
          <w:szCs w:val="24"/>
        </w:rPr>
      </w:pPr>
      <w:r w:rsidRPr="008D325E">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w:t>
      </w:r>
      <w:r w:rsidRPr="00AA4672">
        <w:rPr>
          <w:sz w:val="24"/>
          <w:szCs w:val="24"/>
          <w:lang w:val="ru-RU"/>
        </w:rPr>
        <w:t xml:space="preserve">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4AD6A790"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1A56F21B"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AE3179">
        <w:rPr>
          <w:sz w:val="24"/>
          <w:szCs w:val="24"/>
          <w:lang w:val="ru-RU"/>
        </w:rPr>
        <w:t>9</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 xml:space="preserve">Юридическое лицо, физическое лицо, в том числе индивидуальный </w:t>
      </w:r>
      <w:r w:rsidRPr="00EE0D14">
        <w:rPr>
          <w:sz w:val="24"/>
          <w:szCs w:val="24"/>
        </w:rPr>
        <w:lastRenderedPageBreak/>
        <w:t>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559A8975"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w:t>
      </w:r>
      <w:r w:rsidR="00596964">
        <w:rPr>
          <w:sz w:val="24"/>
          <w:szCs w:val="24"/>
        </w:rPr>
        <w:t xml:space="preserve">ооборот и иные взаиморасчеты с </w:t>
      </w:r>
      <w:r w:rsidR="00596964">
        <w:rPr>
          <w:sz w:val="24"/>
          <w:szCs w:val="24"/>
          <w:lang w:val="ru-RU"/>
        </w:rPr>
        <w:t>З</w:t>
      </w:r>
      <w:r w:rsidRPr="00EE0D14">
        <w:rPr>
          <w:sz w:val="24"/>
          <w:szCs w:val="24"/>
        </w:rPr>
        <w:t>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4E27C975"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w:t>
      </w:r>
      <w:r w:rsidR="009C30B5">
        <w:rPr>
          <w:sz w:val="24"/>
          <w:szCs w:val="24"/>
        </w:rPr>
        <w:t xml:space="preserve">занные с исполнением договора. </w:t>
      </w:r>
    </w:p>
    <w:sectPr w:rsidR="00365A33" w:rsidRPr="00365A33" w:rsidSect="001C7328">
      <w:headerReference w:type="even" r:id="rId19"/>
      <w:headerReference w:type="first" r:id="rId20"/>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B865CF" w:rsidRDefault="00B865CF">
      <w:r>
        <w:separator/>
      </w:r>
    </w:p>
  </w:endnote>
  <w:endnote w:type="continuationSeparator" w:id="0">
    <w:p w14:paraId="75C4ADD0" w14:textId="77777777" w:rsidR="00B865CF" w:rsidRDefault="00B865CF">
      <w:r>
        <w:continuationSeparator/>
      </w:r>
    </w:p>
  </w:endnote>
  <w:endnote w:type="continuationNotice" w:id="1">
    <w:p w14:paraId="45E22EC7" w14:textId="77777777" w:rsidR="00B865CF" w:rsidRDefault="00B86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B865CF" w:rsidRDefault="00B865CF">
      <w:r>
        <w:separator/>
      </w:r>
    </w:p>
  </w:footnote>
  <w:footnote w:type="continuationSeparator" w:id="0">
    <w:p w14:paraId="6FEE6E6B" w14:textId="77777777" w:rsidR="00B865CF" w:rsidRDefault="00B865CF">
      <w:r>
        <w:continuationSeparator/>
      </w:r>
    </w:p>
  </w:footnote>
  <w:footnote w:type="continuationNotice" w:id="1">
    <w:p w14:paraId="3E485A11" w14:textId="77777777" w:rsidR="00B865CF" w:rsidRDefault="00B865CF"/>
  </w:footnote>
  <w:footnote w:id="2">
    <w:p w14:paraId="0679A0AF" w14:textId="32078BDD" w:rsidR="00B865CF" w:rsidRPr="004D44CA" w:rsidRDefault="00B865CF">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3E7D84C5" w14:textId="77777777" w:rsidR="00B865CF" w:rsidRPr="00B865CF" w:rsidRDefault="00B865CF" w:rsidP="0018784B">
      <w:pPr>
        <w:pStyle w:val="aff3"/>
        <w:jc w:val="both"/>
        <w:rPr>
          <w:lang w:val="ru-RU"/>
        </w:rPr>
      </w:pPr>
      <w:r w:rsidRPr="00B865CF">
        <w:rPr>
          <w:rStyle w:val="af0"/>
        </w:rPr>
        <w:footnoteRef/>
      </w:r>
      <w:r w:rsidRPr="00B865CF">
        <w:t xml:space="preserve"> В соответствии с п. 1 ч. 15 ст. 4 Закона № 223-ФЗ</w:t>
      </w:r>
      <w:r w:rsidRPr="00B865CF">
        <w:rPr>
          <w:lang w:val="ru-RU"/>
        </w:rPr>
        <w:t>, ч. 5.2.6 ст. 5.2 Положения о закупке</w:t>
      </w:r>
      <w:r w:rsidRPr="00B865CF">
        <w:t xml:space="preserve"> сведения о закупке (в </w:t>
      </w:r>
      <w:proofErr w:type="spellStart"/>
      <w:r w:rsidRPr="00B865CF">
        <w:t>т.ч</w:t>
      </w:r>
      <w:proofErr w:type="spellEnd"/>
      <w:r w:rsidRPr="00B865CF">
        <w:t>. извещение, документация, протоколы) с начальной (максимальной) ценой договора, не превышающей 500 тыс. руб., не размеща</w:t>
      </w:r>
      <w:r w:rsidRPr="00B865CF">
        <w:rPr>
          <w:lang w:val="ru-RU"/>
        </w:rPr>
        <w:t>ются</w:t>
      </w:r>
      <w:r w:rsidRPr="00B865CF">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B865CF" w:rsidRPr="005432DB" w:rsidRDefault="00B865CF"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B865CF" w:rsidRDefault="00B865CF">
    <w:pPr>
      <w:pStyle w:val="af6"/>
      <w:jc w:val="center"/>
    </w:pPr>
  </w:p>
  <w:p w14:paraId="366BDE3D" w14:textId="77777777" w:rsidR="00B865CF" w:rsidRDefault="00B865CF">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B865CF" w:rsidRDefault="00B865CF"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16385"/>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627"/>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AD1"/>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1FF"/>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6964"/>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1A5"/>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7B8"/>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0B5"/>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79"/>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68A4"/>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5CF"/>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83B"/>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58D6"/>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999"/>
    <w:rsid w:val="00FC1EFE"/>
    <w:rsid w:val="00FC2076"/>
    <w:rsid w:val="00FC27FD"/>
    <w:rsid w:val="00FC2988"/>
    <w:rsid w:val="00FC2E8C"/>
    <w:rsid w:val="00FC34D0"/>
    <w:rsid w:val="00FC4763"/>
    <w:rsid w:val="00FC4D38"/>
    <w:rsid w:val="00FC5719"/>
    <w:rsid w:val="00FC5D14"/>
    <w:rsid w:val="00FC5F31"/>
    <w:rsid w:val="00FC6876"/>
    <w:rsid w:val="00FC758F"/>
    <w:rsid w:val="00FC7A4E"/>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180F9-4DE0-4E6B-A714-E8EE1382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30</Pages>
  <Words>15878</Words>
  <Characters>90511</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106177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
  <cp:keywords/>
  <cp:lastModifiedBy>Селищева Татьяна Николаевна</cp:lastModifiedBy>
  <cp:revision>29</cp:revision>
  <cp:lastPrinted>2020-02-03T09:51:00Z</cp:lastPrinted>
  <dcterms:created xsi:type="dcterms:W3CDTF">2025-01-10T09:51:00Z</dcterms:created>
  <dcterms:modified xsi:type="dcterms:W3CDTF">2026-06-19T07:21:00Z</dcterms:modified>
</cp:coreProperties>
</file>