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shd w:val="clear" w:color="auto" w:fill="auto"/>
        <w:spacing w:lineRule="auto" w:line="264"/>
        <w:ind w:firstLine="851"/>
        <w:jc w:val="center"/>
        <w:rPr>
          <w:rFonts w:ascii="Times New Roman" w:hAnsi="Times New Roman"/>
          <w:color w:val="332E2D"/>
          <w:spacing w:val="2"/>
        </w:rPr>
      </w:pPr>
      <w:r>
        <w:rPr>
          <w:rFonts w:ascii="Times New Roman" w:hAnsi="Times New Roman"/>
          <w:color w:val="332E2D"/>
          <w:spacing w:val="2"/>
        </w:rPr>
      </w:r>
    </w:p>
    <w:p>
      <w:pPr>
        <w:pStyle w:val="12"/>
        <w:shd w:val="clear" w:color="auto" w:fill="auto"/>
        <w:spacing w:lineRule="auto" w:line="264"/>
        <w:ind w:firstLine="851"/>
        <w:jc w:val="center"/>
        <w:rPr>
          <w:rFonts w:ascii="Times New Roman" w:hAnsi="Times New Roman"/>
          <w:color w:val="332E2D"/>
          <w:spacing w:val="2"/>
        </w:rPr>
      </w:pPr>
      <w:r>
        <w:rPr>
          <w:rFonts w:ascii="Times New Roman" w:hAnsi="Times New Roman"/>
          <w:color w:val="332E2D"/>
          <w:spacing w:val="2"/>
        </w:rPr>
      </w:r>
    </w:p>
    <w:p>
      <w:pPr>
        <w:pStyle w:val="12"/>
        <w:shd w:val="clear" w:color="auto" w:fill="auto"/>
        <w:spacing w:lineRule="auto" w:line="264"/>
        <w:ind w:firstLine="851"/>
        <w:jc w:val="center"/>
        <w:rPr>
          <w:rFonts w:ascii="Times New Roman" w:hAnsi="Times New Roman"/>
          <w:color w:val="332E2D"/>
          <w:spacing w:val="2"/>
        </w:rPr>
      </w:pPr>
      <w:r>
        <w:rPr>
          <w:rFonts w:ascii="Times New Roman" w:hAnsi="Times New Roman"/>
          <w:color w:val="332E2D"/>
          <w:spacing w:val="2"/>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highlight w:val="none"/>
          <w:shd w:fill="auto" w:val="clear"/>
        </w:rPr>
      </w:pPr>
      <w:r>
        <w:rPr>
          <w:rFonts w:ascii="Times New Roman" w:hAnsi="Times New Roman"/>
          <w:b/>
          <w:shd w:fill="auto" w:val="clear"/>
        </w:rPr>
        <w:t xml:space="preserve">ТЕХНИЧЕСКИЕ ТРЕБОВАНИЯ </w:t>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highlight w:val="none"/>
          <w:shd w:fill="auto" w:val="clear"/>
        </w:rPr>
      </w:pPr>
      <w:r>
        <w:rPr>
          <w:rFonts w:ascii="Times New Roman" w:hAnsi="Times New Roman"/>
          <w:shd w:fill="auto" w:val="clear"/>
        </w:rPr>
        <w:t>ОКПД2 29.20.21.110 Поставка контейнеров морских для нужд Волжского филиала АО «Гидроремонт-ВКК»</w:t>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highlight w:val="none"/>
          <w:shd w:fill="auto" w:val="clear"/>
        </w:rPr>
      </w:pPr>
      <w:r>
        <w:rPr>
          <w:shd w:fill="auto" w:val="clear"/>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rPr>
          <w:sz w:val="24"/>
          <w:szCs w:val="24"/>
        </w:rPr>
      </w:pPr>
      <w:r>
        <w:rPr>
          <w:rFonts w:ascii="Times New Roman" w:hAnsi="Times New Roman"/>
          <w:b/>
          <w:sz w:val="24"/>
          <w:szCs w:val="24"/>
        </w:rPr>
        <w:t>1.1</w:t>
      </w:r>
      <w:r>
        <w:rPr>
          <w:rFonts w:ascii="Times New Roman" w:hAnsi="Times New Roman"/>
          <w:sz w:val="24"/>
          <w:szCs w:val="24"/>
        </w:rPr>
        <w:t>.</w:t>
      </w:r>
      <w:r>
        <w:rPr>
          <w:rFonts w:ascii="Times New Roman" w:hAnsi="Times New Roman"/>
          <w:b/>
          <w:bCs/>
          <w:sz w:val="24"/>
          <w:szCs w:val="24"/>
        </w:rPr>
        <w:tab/>
        <w:t>Наименование закупаемой продукции</w:t>
      </w:r>
    </w:p>
    <w:p>
      <w:pPr>
        <w:pStyle w:val="12"/>
        <w:shd w:val="clear" w:fill="auto"/>
        <w:spacing w:lineRule="auto" w:line="264"/>
        <w:jc w:val="both"/>
        <w:rPr/>
      </w:pPr>
      <w:r>
        <w:rPr>
          <w:rFonts w:ascii="Times New Roman" w:hAnsi="Times New Roman"/>
          <w:sz w:val="24"/>
          <w:szCs w:val="24"/>
        </w:rPr>
        <w:t>ОКПД2 29.20.21.110 Поставка контейнеров морских для нужд Волжского филиала АО «Гидроремонт-ВКК» (далее - Продукция).</w:t>
      </w:r>
    </w:p>
    <w:p>
      <w:pPr>
        <w:pStyle w:val="12"/>
        <w:spacing w:lineRule="auto" w:line="264"/>
        <w:rPr>
          <w:sz w:val="24"/>
          <w:szCs w:val="24"/>
        </w:rPr>
      </w:pPr>
      <w:r>
        <w:rPr>
          <w:rFonts w:ascii="Times New Roman" w:hAnsi="Times New Roman"/>
          <w:b/>
          <w:sz w:val="24"/>
          <w:szCs w:val="24"/>
        </w:rPr>
        <w:t>1.2</w:t>
      </w:r>
      <w:bookmarkStart w:id="0" w:name="_Toc75446569"/>
      <w:bookmarkStart w:id="1" w:name="_Toc46743507"/>
      <w:r>
        <w:rPr>
          <w:rFonts w:ascii="Times New Roman" w:hAnsi="Times New Roman"/>
          <w:b/>
          <w:bCs/>
          <w:i/>
          <w:iCs/>
          <w:sz w:val="24"/>
          <w:szCs w:val="24"/>
          <w:lang w:val="x-none" w:eastAsia="x-none"/>
        </w:rPr>
        <w:t xml:space="preserve"> </w:t>
        <w:tab/>
      </w:r>
      <w:r>
        <w:rPr>
          <w:rFonts w:ascii="Times New Roman" w:hAnsi="Times New Roman"/>
          <w:b/>
          <w:bCs/>
          <w:sz w:val="24"/>
          <w:szCs w:val="24"/>
          <w:lang w:val="x-none"/>
        </w:rPr>
        <w:t xml:space="preserve">Цель </w:t>
      </w:r>
      <w:bookmarkEnd w:id="1"/>
      <w:r>
        <w:rPr>
          <w:rFonts w:ascii="Times New Roman" w:hAnsi="Times New Roman"/>
          <w:b/>
          <w:bCs/>
          <w:sz w:val="24"/>
          <w:szCs w:val="24"/>
        </w:rPr>
        <w:t xml:space="preserve">использования закупаемой продукции </w:t>
      </w:r>
      <w:bookmarkEnd w:id="0"/>
      <w:r>
        <w:rPr>
          <w:rFonts w:ascii="Times New Roman" w:hAnsi="Times New Roman"/>
          <w:b/>
          <w:bCs/>
          <w:sz w:val="24"/>
          <w:szCs w:val="24"/>
          <w:lang w:val="x-none"/>
        </w:rPr>
        <w:t xml:space="preserve"> </w:t>
      </w:r>
    </w:p>
    <w:p>
      <w:pPr>
        <w:pStyle w:val="12"/>
        <w:jc w:val="both"/>
        <w:rPr/>
      </w:pPr>
      <w:r>
        <w:rPr>
          <w:rStyle w:val="Style17"/>
          <w:rFonts w:ascii="Times New Roman" w:hAnsi="Times New Roman"/>
          <w:b w:val="false"/>
          <w:bCs w:val="false"/>
          <w:i w:val="false"/>
          <w:color w:val="000000"/>
          <w:sz w:val="24"/>
          <w:szCs w:val="24"/>
          <w:shd w:fill="auto" w:val="clear"/>
          <w:lang w:val="ru-RU"/>
        </w:rPr>
        <w:t>Закупаемая продукция предназначена для выполнения работ на Волжской ГЭС для исполнения проекта №</w:t>
      </w:r>
      <w:r>
        <w:rPr>
          <w:rStyle w:val="Style17"/>
          <w:rFonts w:eastAsia="Calibri" w:cs="Times New Roman" w:ascii="Times New Roman" w:hAnsi="Times New Roman"/>
          <w:b w:val="false"/>
          <w:bCs w:val="false"/>
          <w:i w:val="false"/>
          <w:color w:val="000000"/>
          <w:kern w:val="0"/>
          <w:sz w:val="24"/>
          <w:szCs w:val="24"/>
          <w:shd w:fill="auto" w:val="clear"/>
          <w:lang w:val="ru-RU" w:eastAsia="ru-RU" w:bidi="ar-SA"/>
        </w:rPr>
        <w:t xml:space="preserve"> [ТПиР_ВолГЭС_3-ТПиР-БЕЗ-2026](КСБ)Разработка раб.документации,монтаж заграждения защитного здания КРУЭ-500кВ Волжской ГЭС планируемый к заключению между филиалом ПАО «РусГидро» - Волжская ГЭС</w:t>
      </w:r>
      <w:r>
        <w:rPr>
          <w:rStyle w:val="Style17"/>
          <w:rFonts w:ascii="Times New Roman" w:hAnsi="Times New Roman"/>
          <w:b w:val="false"/>
          <w:bCs w:val="false"/>
          <w:i w:val="false"/>
          <w:color w:val="000000"/>
          <w:sz w:val="24"/>
          <w:szCs w:val="24"/>
          <w:shd w:fill="auto" w:val="clear"/>
          <w:lang w:val="ru-RU"/>
        </w:rPr>
        <w:t>» и Волжским филиалом АО «Гидроремонт-ВКК».</w:t>
      </w:r>
    </w:p>
    <w:p>
      <w:pPr>
        <w:pStyle w:val="Normal"/>
        <w:keepNext w:val="true"/>
        <w:keepLines/>
        <w:numPr>
          <w:ilvl w:val="0"/>
          <w:numId w:val="0"/>
        </w:numPr>
        <w:spacing w:lineRule="auto" w:line="240" w:before="120" w:after="60"/>
        <w:ind w:left="357" w:hanging="357"/>
        <w:jc w:val="center"/>
        <w:outlineLvl w:val="0"/>
        <w:rPr>
          <w:sz w:val="24"/>
          <w:szCs w:val="24"/>
        </w:rPr>
      </w:pPr>
      <w:bookmarkStart w:id="2" w:name="_Toc51339693"/>
      <w:bookmarkStart w:id="3" w:name="_Toc75446573"/>
      <w:r>
        <w:rPr>
          <w:rFonts w:ascii="Times New Roman" w:hAnsi="Times New Roman"/>
          <w:b/>
          <w:iCs/>
          <w:sz w:val="24"/>
          <w:szCs w:val="24"/>
          <w:lang w:val="x-none" w:eastAsia="x-none"/>
        </w:rPr>
        <w:t>Требования к продукции</w:t>
      </w:r>
      <w:bookmarkEnd w:id="2"/>
      <w:bookmarkEnd w:id="3"/>
    </w:p>
    <w:p>
      <w:pPr>
        <w:pStyle w:val="Normal"/>
        <w:keepNext w:val="true"/>
        <w:numPr>
          <w:ilvl w:val="0"/>
          <w:numId w:val="0"/>
        </w:numPr>
        <w:spacing w:lineRule="auto" w:line="240" w:before="120" w:after="60"/>
        <w:ind w:left="432" w:hanging="432"/>
        <w:outlineLvl w:val="3"/>
        <w:rPr>
          <w:sz w:val="24"/>
          <w:szCs w:val="24"/>
        </w:rPr>
      </w:pPr>
      <w:bookmarkStart w:id="4" w:name="_Toc75446574"/>
      <w:r>
        <w:rPr>
          <w:rFonts w:ascii="Times New Roman" w:hAnsi="Times New Roman"/>
          <w:b/>
          <w:sz w:val="24"/>
          <w:szCs w:val="24"/>
          <w:lang w:eastAsia="ru-RU"/>
        </w:rPr>
        <w:t>2.1 Требования к объемам и срокам поставки</w:t>
      </w:r>
      <w:bookmarkEnd w:id="4"/>
    </w:p>
    <w:p>
      <w:pPr>
        <w:pStyle w:val="Normal"/>
        <w:keepNext w:val="true"/>
        <w:numPr>
          <w:ilvl w:val="0"/>
          <w:numId w:val="0"/>
        </w:numPr>
        <w:spacing w:lineRule="auto" w:line="240" w:before="120" w:after="60"/>
        <w:ind w:left="1224" w:hanging="504"/>
        <w:outlineLvl w:val="2"/>
        <w:rPr>
          <w:sz w:val="24"/>
          <w:szCs w:val="24"/>
        </w:rPr>
      </w:pPr>
      <w:bookmarkStart w:id="5" w:name="_Toc75446575"/>
      <w:r>
        <w:rPr>
          <w:rFonts w:ascii="Times New Roman" w:hAnsi="Times New Roman"/>
          <w:b/>
          <w:sz w:val="24"/>
          <w:szCs w:val="24"/>
          <w:lang w:eastAsia="ru-RU"/>
        </w:rPr>
        <w:t>2.1.1.</w:t>
      </w:r>
      <w:r>
        <w:rPr>
          <w:rFonts w:ascii="Times New Roman" w:hAnsi="Times New Roman"/>
          <w:b/>
          <w:sz w:val="24"/>
          <w:szCs w:val="24"/>
          <w:lang w:val="en-US" w:eastAsia="ru-RU"/>
        </w:rPr>
        <w:t xml:space="preserve"> </w:t>
      </w:r>
      <w:r>
        <w:rPr>
          <w:rFonts w:ascii="Times New Roman" w:hAnsi="Times New Roman"/>
          <w:b/>
          <w:sz w:val="24"/>
          <w:szCs w:val="24"/>
          <w:lang w:eastAsia="ru-RU"/>
        </w:rPr>
        <w:t>Перечень и объем закупаемой продукции</w:t>
      </w:r>
      <w:bookmarkEnd w:id="5"/>
    </w:p>
    <w:p>
      <w:pPr>
        <w:pStyle w:val="Normal"/>
        <w:keepNext w:val="true"/>
        <w:keepLines/>
        <w:numPr>
          <w:ilvl w:val="0"/>
          <w:numId w:val="0"/>
        </w:numPr>
        <w:spacing w:lineRule="auto" w:line="240" w:before="240" w:after="60"/>
        <w:ind w:left="0" w:hanging="0"/>
        <w:outlineLvl w:val="0"/>
        <w:rPr>
          <w:sz w:val="24"/>
          <w:szCs w:val="24"/>
        </w:rPr>
      </w:pPr>
      <w:bookmarkStart w:id="6" w:name="_Toc75446576"/>
      <w:bookmarkStart w:id="7" w:name="_Toc51339695"/>
      <w:r>
        <w:rPr>
          <w:rFonts w:ascii="Times New Roman" w:hAnsi="Times New Roman"/>
          <w:b/>
          <w:sz w:val="24"/>
          <w:szCs w:val="24"/>
          <w:lang w:eastAsia="ru-RU"/>
        </w:rPr>
        <w:t xml:space="preserve">Таблица 1.1 Перечень </w:t>
      </w:r>
      <w:bookmarkEnd w:id="7"/>
      <w:r>
        <w:rPr>
          <w:rFonts w:ascii="Times New Roman" w:hAnsi="Times New Roman"/>
          <w:b/>
          <w:sz w:val="24"/>
          <w:szCs w:val="24"/>
          <w:lang w:eastAsia="ru-RU"/>
        </w:rPr>
        <w:t>и объем закупаемой продукции</w:t>
      </w:r>
      <w:bookmarkEnd w:id="6"/>
    </w:p>
    <w:tbl>
      <w:tblPr>
        <w:tblW w:w="9921" w:type="dxa"/>
        <w:jc w:val="left"/>
        <w:tblInd w:w="-5" w:type="dxa"/>
        <w:tblLayout w:type="fixed"/>
        <w:tblCellMar>
          <w:top w:w="28" w:type="dxa"/>
          <w:left w:w="108" w:type="dxa"/>
          <w:bottom w:w="28" w:type="dxa"/>
          <w:right w:w="108" w:type="dxa"/>
        </w:tblCellMar>
      </w:tblPr>
      <w:tblGrid>
        <w:gridCol w:w="665"/>
        <w:gridCol w:w="6833"/>
        <w:gridCol w:w="1233"/>
        <w:gridCol w:w="1189"/>
      </w:tblGrid>
      <w:tr>
        <w:trPr/>
        <w:tc>
          <w:tcPr>
            <w:tcW w:w="665"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lineRule="auto" w:line="271" w:before="0" w:after="200"/>
              <w:jc w:val="center"/>
              <w:rPr>
                <w:sz w:val="24"/>
                <w:szCs w:val="24"/>
              </w:rPr>
            </w:pPr>
            <w:r>
              <w:rPr>
                <w:color w:val="000000"/>
                <w:sz w:val="24"/>
                <w:szCs w:val="24"/>
              </w:rPr>
              <w:t xml:space="preserve">№ </w:t>
            </w:r>
            <w:r>
              <w:rPr>
                <w:rFonts w:ascii="Times New Roman" w:hAnsi="Times New Roman"/>
                <w:color w:val="000000"/>
                <w:sz w:val="24"/>
                <w:szCs w:val="24"/>
              </w:rPr>
              <w:t>п.п.</w:t>
            </w:r>
          </w:p>
        </w:tc>
        <w:tc>
          <w:tcPr>
            <w:tcW w:w="6833"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3"/>
              <w:widowControl w:val="false"/>
              <w:spacing w:lineRule="auto" w:line="271" w:before="0" w:after="200"/>
              <w:jc w:val="center"/>
              <w:rPr>
                <w:sz w:val="24"/>
                <w:szCs w:val="24"/>
              </w:rPr>
            </w:pPr>
            <w:r>
              <w:rPr>
                <w:rFonts w:ascii="Times New Roman" w:hAnsi="Times New Roman"/>
                <w:color w:val="000000"/>
                <w:sz w:val="24"/>
                <w:szCs w:val="24"/>
              </w:rPr>
              <w:t>Наименование</w:t>
            </w:r>
          </w:p>
        </w:tc>
        <w:tc>
          <w:tcPr>
            <w:tcW w:w="1233" w:type="dxa"/>
            <w:tcBorders>
              <w:top w:val="single" w:sz="4" w:space="0" w:color="000000"/>
              <w:bottom w:val="single" w:sz="4" w:space="0" w:color="000000"/>
              <w:right w:val="single" w:sz="4" w:space="0" w:color="000000"/>
            </w:tcBorders>
            <w:shd w:fill="FFFFFF" w:val="clear"/>
            <w:tcMar>
              <w:left w:w="0" w:type="dxa"/>
            </w:tcMar>
            <w:vAlign w:val="center"/>
          </w:tcPr>
          <w:p>
            <w:pPr>
              <w:pStyle w:val="Style23"/>
              <w:widowControl w:val="false"/>
              <w:spacing w:lineRule="auto" w:line="271" w:before="0" w:after="200"/>
              <w:jc w:val="center"/>
              <w:rPr>
                <w:sz w:val="24"/>
                <w:szCs w:val="24"/>
              </w:rPr>
            </w:pPr>
            <w:r>
              <w:rPr>
                <w:rFonts w:ascii="Times New Roman" w:hAnsi="Times New Roman"/>
                <w:color w:val="000000"/>
                <w:sz w:val="24"/>
                <w:szCs w:val="24"/>
              </w:rPr>
              <w:t>Ед.изм.</w:t>
            </w:r>
          </w:p>
        </w:tc>
        <w:tc>
          <w:tcPr>
            <w:tcW w:w="1189" w:type="dxa"/>
            <w:tcBorders>
              <w:top w:val="single" w:sz="4" w:space="0" w:color="000000"/>
              <w:bottom w:val="single" w:sz="4" w:space="0" w:color="000000"/>
              <w:right w:val="single" w:sz="4" w:space="0" w:color="000000"/>
            </w:tcBorders>
            <w:shd w:fill="FFFFFF" w:val="clear"/>
            <w:tcMar>
              <w:left w:w="0" w:type="dxa"/>
            </w:tcMar>
            <w:vAlign w:val="center"/>
          </w:tcPr>
          <w:p>
            <w:pPr>
              <w:pStyle w:val="Style23"/>
              <w:widowControl w:val="false"/>
              <w:spacing w:lineRule="auto" w:line="271" w:before="0" w:after="200"/>
              <w:jc w:val="center"/>
              <w:rPr>
                <w:sz w:val="24"/>
                <w:szCs w:val="24"/>
              </w:rPr>
            </w:pPr>
            <w:r>
              <w:rPr>
                <w:rFonts w:ascii="Times New Roman" w:hAnsi="Times New Roman"/>
                <w:color w:val="000000"/>
                <w:sz w:val="24"/>
                <w:szCs w:val="24"/>
              </w:rPr>
              <w:t>Кол-во</w:t>
            </w:r>
          </w:p>
        </w:tc>
      </w:tr>
      <w:tr>
        <w:trPr/>
        <w:tc>
          <w:tcPr>
            <w:tcW w:w="665" w:type="dxa"/>
            <w:tcBorders>
              <w:left w:val="single" w:sz="4" w:space="0" w:color="000000"/>
              <w:bottom w:val="single" w:sz="4" w:space="0" w:color="000000"/>
              <w:right w:val="single" w:sz="4" w:space="0" w:color="000000"/>
            </w:tcBorders>
            <w:tcMar>
              <w:top w:w="0" w:type="dxa"/>
            </w:tcMar>
            <w:vAlign w:val="center"/>
          </w:tcPr>
          <w:p>
            <w:pPr>
              <w:pStyle w:val="Style23"/>
              <w:widowControl w:val="false"/>
              <w:spacing w:lineRule="auto" w:line="271" w:before="0" w:after="200"/>
              <w:rPr>
                <w:sz w:val="24"/>
                <w:szCs w:val="24"/>
              </w:rPr>
            </w:pPr>
            <w:r>
              <w:rPr>
                <w:rFonts w:ascii="Times New Roman" w:hAnsi="Times New Roman"/>
                <w:color w:val="000000"/>
                <w:sz w:val="24"/>
                <w:szCs w:val="24"/>
              </w:rPr>
              <w:t>1.1</w:t>
            </w:r>
          </w:p>
        </w:tc>
        <w:tc>
          <w:tcPr>
            <w:tcW w:w="6833" w:type="dxa"/>
            <w:tcBorders>
              <w:left w:val="single" w:sz="4" w:space="0" w:color="000000"/>
              <w:bottom w:val="single" w:sz="4" w:space="0" w:color="000000"/>
              <w:right w:val="single" w:sz="4" w:space="0" w:color="000000"/>
            </w:tcBorders>
            <w:shd w:fill="FFFFFF" w:val="clear"/>
            <w:tcMar>
              <w:top w:w="0" w:type="dxa"/>
            </w:tcMar>
            <w:vAlign w:val="center"/>
          </w:tcPr>
          <w:p>
            <w:pPr>
              <w:pStyle w:val="Style23"/>
              <w:widowControl w:val="false"/>
              <w:spacing w:before="0" w:after="20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shd w:fill="FFFFFF" w:val="clear"/>
              </w:rPr>
              <w:t xml:space="preserve">Контейнер морской, </w:t>
            </w:r>
            <w:r>
              <w:rPr>
                <w:rFonts w:cs="Times New Roman" w:ascii="Times New Roman" w:hAnsi="Times New Roman"/>
                <w:b w:val="false"/>
                <w:bCs w:val="false"/>
                <w:caps w:val="false"/>
                <w:smallCaps w:val="false"/>
                <w:color w:val="000000"/>
                <w:spacing w:val="0"/>
                <w:sz w:val="24"/>
                <w:szCs w:val="28"/>
                <w:shd w:fill="FFFFFF" w:val="clear"/>
              </w:rPr>
              <w:t> </w:t>
            </w:r>
            <w:r>
              <w:rPr>
                <w:rFonts w:eastAsia="Calibri" w:cs="Times New Roman" w:ascii="Times New Roman" w:hAnsi="Times New Roman"/>
                <w:b w:val="false"/>
                <w:bCs w:val="false"/>
                <w:color w:val="000000"/>
                <w:kern w:val="0"/>
                <w:sz w:val="24"/>
                <w:szCs w:val="24"/>
                <w:shd w:fill="FFFFFF" w:val="clear"/>
                <w:lang w:val="ru-RU" w:eastAsia="en-US" w:bidi="ar-SA"/>
              </w:rPr>
              <w:t xml:space="preserve">(ДхШхВ) </w:t>
            </w:r>
            <w:r>
              <w:rPr>
                <w:rFonts w:cs="Times New Roman" w:ascii="Times New Roman" w:hAnsi="Times New Roman"/>
                <w:b w:val="false"/>
                <w:bCs w:val="false"/>
                <w:color w:val="000000"/>
                <w:sz w:val="24"/>
                <w:szCs w:val="28"/>
                <w:shd w:fill="FFFFFF" w:val="clear"/>
              </w:rPr>
              <w:t>12192х2438х2896 мм</w:t>
            </w:r>
            <w:r>
              <w:rPr>
                <w:rFonts w:cs="Times New Roman" w:ascii="Times New Roman" w:hAnsi="Times New Roman"/>
                <w:b w:val="false"/>
                <w:bCs w:val="false"/>
                <w:color w:val="000000"/>
                <w:sz w:val="24"/>
                <w:szCs w:val="28"/>
              </w:rPr>
              <w:t xml:space="preserve"> </w:t>
            </w:r>
          </w:p>
        </w:tc>
        <w:tc>
          <w:tcPr>
            <w:tcW w:w="1233" w:type="dxa"/>
            <w:tcBorders>
              <w:bottom w:val="single" w:sz="4" w:space="0" w:color="000000"/>
              <w:right w:val="single" w:sz="4" w:space="0" w:color="000000"/>
            </w:tcBorders>
            <w:shd w:fill="FFFFFF" w:val="clear"/>
            <w:tcMar>
              <w:top w:w="0" w:type="dxa"/>
              <w:left w:w="0" w:type="dxa"/>
            </w:tcMar>
            <w:vAlign w:val="center"/>
          </w:tcPr>
          <w:p>
            <w:pPr>
              <w:pStyle w:val="Style23"/>
              <w:widowControl w:val="false"/>
              <w:spacing w:before="0" w:after="200"/>
              <w:jc w:val="center"/>
              <w:rPr>
                <w:sz w:val="24"/>
                <w:szCs w:val="24"/>
              </w:rPr>
            </w:pPr>
            <w:r>
              <w:rPr>
                <w:rFonts w:ascii="Times New Roman" w:hAnsi="Times New Roman"/>
                <w:color w:val="000000"/>
                <w:sz w:val="24"/>
                <w:szCs w:val="24"/>
              </w:rPr>
              <w:t>шт</w:t>
            </w:r>
          </w:p>
        </w:tc>
        <w:tc>
          <w:tcPr>
            <w:tcW w:w="1189" w:type="dxa"/>
            <w:tcBorders>
              <w:bottom w:val="single" w:sz="4" w:space="0" w:color="000000"/>
              <w:right w:val="single" w:sz="4" w:space="0" w:color="000000"/>
            </w:tcBorders>
            <w:shd w:fill="FFFFFF" w:val="clear"/>
            <w:tcMar>
              <w:top w:w="0" w:type="dxa"/>
              <w:left w:w="0" w:type="dxa"/>
            </w:tcMar>
            <w:vAlign w:val="center"/>
          </w:tcPr>
          <w:p>
            <w:pPr>
              <w:pStyle w:val="Style23"/>
              <w:widowControl w:val="false"/>
              <w:spacing w:before="0" w:after="200"/>
              <w:jc w:val="center"/>
              <w:rPr>
                <w:sz w:val="24"/>
                <w:szCs w:val="24"/>
              </w:rPr>
            </w:pPr>
            <w:r>
              <w:rPr>
                <w:rFonts w:ascii="Times New Roman" w:hAnsi="Times New Roman"/>
                <w:color w:val="000000"/>
                <w:sz w:val="24"/>
                <w:szCs w:val="24"/>
              </w:rPr>
              <w:t>45*</w:t>
            </w:r>
          </w:p>
        </w:tc>
      </w:tr>
      <w:tr>
        <w:trPr/>
        <w:tc>
          <w:tcPr>
            <w:tcW w:w="665" w:type="dxa"/>
            <w:tcBorders>
              <w:left w:val="single" w:sz="4" w:space="0" w:color="000000"/>
              <w:bottom w:val="single" w:sz="4" w:space="0" w:color="000000"/>
            </w:tcBorders>
            <w:shd w:fill="FFFFFF" w:val="clear"/>
            <w:tcMar>
              <w:top w:w="0" w:type="dxa"/>
            </w:tcMar>
            <w:vAlign w:val="center"/>
          </w:tcPr>
          <w:p>
            <w:pPr>
              <w:pStyle w:val="Style23"/>
              <w:widowControl w:val="false"/>
              <w:spacing w:lineRule="auto" w:line="271" w:before="0" w:after="200"/>
              <w:rPr>
                <w:rFonts w:ascii="Times New Roman" w:hAnsi="Times New Roman" w:eastAsia="Calibri" w:cs="Times New Roman"/>
                <w:color w:val="000000"/>
                <w:kern w:val="0"/>
                <w:sz w:val="24"/>
                <w:lang w:val="ru-RU" w:eastAsia="en-US" w:bidi="ar-SA"/>
              </w:rPr>
            </w:pPr>
            <w:r>
              <w:rPr>
                <w:rFonts w:eastAsia="Calibri" w:cs="Times New Roman" w:ascii="Times New Roman" w:hAnsi="Times New Roman"/>
                <w:color w:val="000000"/>
                <w:kern w:val="0"/>
                <w:sz w:val="24"/>
                <w:lang w:val="ru-RU" w:eastAsia="en-US" w:bidi="ar-SA"/>
              </w:rPr>
              <w:t>1.2</w:t>
            </w:r>
          </w:p>
        </w:tc>
        <w:tc>
          <w:tcPr>
            <w:tcW w:w="6833" w:type="dxa"/>
            <w:tcBorders>
              <w:bottom w:val="single" w:sz="4" w:space="0" w:color="000000"/>
              <w:right w:val="single" w:sz="4" w:space="0" w:color="000000"/>
            </w:tcBorders>
            <w:tcMar>
              <w:top w:w="0" w:type="dxa"/>
            </w:tcMar>
            <w:vAlign w:val="center"/>
          </w:tcPr>
          <w:p>
            <w:pPr>
              <w:pStyle w:val="Style23"/>
              <w:widowControl w:val="false"/>
              <w:spacing w:before="0" w:after="20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 xml:space="preserve">Контейнер морской, </w:t>
            </w:r>
            <w:r>
              <w:rPr>
                <w:rFonts w:cs="Times New Roman" w:ascii="Times New Roman" w:hAnsi="Times New Roman"/>
                <w:b w:val="false"/>
                <w:bCs w:val="false"/>
                <w:caps w:val="false"/>
                <w:smallCaps w:val="false"/>
                <w:color w:val="000000"/>
                <w:spacing w:val="0"/>
                <w:sz w:val="24"/>
                <w:szCs w:val="28"/>
              </w:rPr>
              <w:t> </w:t>
            </w:r>
            <w:r>
              <w:rPr>
                <w:rFonts w:eastAsia="Calibri" w:cs="Times New Roman" w:ascii="Times New Roman" w:hAnsi="Times New Roman"/>
                <w:b w:val="false"/>
                <w:bCs w:val="false"/>
                <w:color w:val="000000"/>
                <w:kern w:val="0"/>
                <w:sz w:val="24"/>
                <w:szCs w:val="24"/>
                <w:lang w:val="ru-RU" w:eastAsia="en-US" w:bidi="ar-SA"/>
              </w:rPr>
              <w:t>(ДхШхВ) 6058х2438х</w:t>
            </w:r>
            <w:r>
              <w:rPr>
                <w:rFonts w:eastAsia="Calibri" w:cs="Times New Roman" w:ascii="Times New Roman" w:hAnsi="Times New Roman"/>
                <w:b w:val="false"/>
                <w:bCs w:val="false"/>
                <w:color w:val="000000"/>
                <w:kern w:val="0"/>
                <w:sz w:val="24"/>
                <w:szCs w:val="28"/>
                <w:lang w:val="ru-RU" w:eastAsia="en-US" w:bidi="ar-SA"/>
              </w:rPr>
              <w:t xml:space="preserve">2896(либо 2591) </w:t>
            </w:r>
            <w:r>
              <w:rPr>
                <w:rFonts w:eastAsia="Calibri" w:cs="Times New Roman" w:ascii="Times New Roman" w:hAnsi="Times New Roman"/>
                <w:b w:val="false"/>
                <w:bCs w:val="false"/>
                <w:color w:val="000000"/>
                <w:kern w:val="0"/>
                <w:sz w:val="24"/>
                <w:szCs w:val="24"/>
                <w:lang w:val="ru-RU" w:eastAsia="en-US" w:bidi="ar-SA"/>
              </w:rPr>
              <w:t>мм</w:t>
            </w:r>
          </w:p>
        </w:tc>
        <w:tc>
          <w:tcPr>
            <w:tcW w:w="1233" w:type="dxa"/>
            <w:tcBorders>
              <w:bottom w:val="single" w:sz="4" w:space="0" w:color="000000"/>
              <w:right w:val="single" w:sz="4" w:space="0" w:color="000000"/>
            </w:tcBorders>
            <w:shd w:fill="FFFFFF" w:val="clear"/>
            <w:tcMar>
              <w:top w:w="0" w:type="dxa"/>
              <w:left w:w="0" w:type="dxa"/>
            </w:tcMar>
            <w:vAlign w:val="center"/>
          </w:tcPr>
          <w:p>
            <w:pPr>
              <w:pStyle w:val="Style23"/>
              <w:widowControl w:val="false"/>
              <w:spacing w:before="0" w:after="200"/>
              <w:jc w:val="center"/>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шт</w:t>
            </w:r>
          </w:p>
        </w:tc>
        <w:tc>
          <w:tcPr>
            <w:tcW w:w="1189" w:type="dxa"/>
            <w:tcBorders>
              <w:bottom w:val="single" w:sz="4" w:space="0" w:color="000000"/>
              <w:right w:val="single" w:sz="4" w:space="0" w:color="000000"/>
            </w:tcBorders>
            <w:shd w:fill="FFFFFF" w:val="clear"/>
            <w:tcMar>
              <w:top w:w="0" w:type="dxa"/>
              <w:left w:w="0" w:type="dxa"/>
            </w:tcMar>
            <w:vAlign w:val="center"/>
          </w:tcPr>
          <w:p>
            <w:pPr>
              <w:pStyle w:val="Style23"/>
              <w:widowControl w:val="false"/>
              <w:spacing w:before="0" w:after="200"/>
              <w:jc w:val="center"/>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40*</w:t>
            </w:r>
          </w:p>
        </w:tc>
      </w:tr>
    </w:tbl>
    <w:p>
      <w:pPr>
        <w:pStyle w:val="Normal"/>
        <w:keepNext w:val="true"/>
        <w:keepLines/>
        <w:numPr>
          <w:ilvl w:val="0"/>
          <w:numId w:val="0"/>
        </w:numPr>
        <w:spacing w:lineRule="auto" w:line="240" w:before="240" w:after="60"/>
        <w:ind w:left="0" w:hanging="0"/>
        <w:outlineLvl w:val="0"/>
        <w:rPr>
          <w:sz w:val="24"/>
          <w:szCs w:val="24"/>
        </w:rPr>
      </w:pPr>
      <w:r>
        <w:rPr>
          <w:rFonts w:ascii="Times New Roman" w:hAnsi="Times New Roman"/>
          <w:b/>
          <w:sz w:val="24"/>
          <w:szCs w:val="24"/>
          <w:lang w:eastAsia="ru-RU"/>
        </w:rPr>
        <w:t>* Количество контейнеров может быть уменьшено по заявке Покупателя.</w:t>
      </w:r>
    </w:p>
    <w:p>
      <w:pPr>
        <w:pStyle w:val="Normal"/>
        <w:numPr>
          <w:ilvl w:val="0"/>
          <w:numId w:val="0"/>
        </w:numPr>
        <w:spacing w:lineRule="auto" w:line="240" w:before="240" w:after="60"/>
        <w:ind w:left="0" w:hanging="0"/>
        <w:outlineLvl w:val="0"/>
        <w:rPr>
          <w:sz w:val="24"/>
          <w:szCs w:val="24"/>
        </w:rPr>
      </w:pPr>
      <w:r>
        <w:rPr>
          <w:rFonts w:ascii="Times New Roman" w:hAnsi="Times New Roman"/>
          <w:b/>
          <w:sz w:val="24"/>
          <w:szCs w:val="24"/>
          <w:lang w:eastAsia="ru-RU"/>
        </w:rPr>
        <w:t>2.1.2.</w:t>
        <w:tab/>
        <w:t>Требования к срокам поставки продукции</w:t>
      </w:r>
    </w:p>
    <w:p>
      <w:pPr>
        <w:pStyle w:val="Normal"/>
        <w:keepNext w:val="true"/>
        <w:keepLines/>
        <w:numPr>
          <w:ilvl w:val="0"/>
          <w:numId w:val="0"/>
        </w:numPr>
        <w:spacing w:lineRule="auto" w:line="240" w:before="240" w:after="60"/>
        <w:ind w:left="0" w:hanging="0"/>
        <w:outlineLvl w:val="0"/>
        <w:rPr>
          <w:sz w:val="24"/>
          <w:szCs w:val="24"/>
        </w:rPr>
      </w:pPr>
      <w:r>
        <w:rPr>
          <w:rFonts w:ascii="Times New Roman" w:hAnsi="Times New Roman"/>
          <w:b/>
          <w:sz w:val="24"/>
          <w:szCs w:val="24"/>
          <w:lang w:eastAsia="ru-RU"/>
        </w:rPr>
        <w:t xml:space="preserve">Таблица 2.1 Требования по срокам поставки продукции </w:t>
      </w:r>
    </w:p>
    <w:tbl>
      <w:tblPr>
        <w:tblW w:w="9930" w:type="dxa"/>
        <w:jc w:val="left"/>
        <w:tblInd w:w="8" w:type="dxa"/>
        <w:tblLayout w:type="fixed"/>
        <w:tblCellMar>
          <w:top w:w="0" w:type="dxa"/>
          <w:left w:w="108" w:type="dxa"/>
          <w:bottom w:w="0" w:type="dxa"/>
          <w:right w:w="108" w:type="dxa"/>
        </w:tblCellMar>
        <w:tblLook w:val="04a0" w:noHBand="0" w:noVBand="1" w:firstColumn="1" w:lastRow="0" w:lastColumn="0" w:firstRow="1"/>
      </w:tblPr>
      <w:tblGrid>
        <w:gridCol w:w="834"/>
        <w:gridCol w:w="4266"/>
        <w:gridCol w:w="2324"/>
        <w:gridCol w:w="2505"/>
      </w:tblGrid>
      <w:tr>
        <w:trPr/>
        <w:tc>
          <w:tcPr>
            <w:tcW w:w="8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п/п</w:t>
            </w:r>
          </w:p>
        </w:tc>
        <w:tc>
          <w:tcPr>
            <w:tcW w:w="4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Наименование продукции / партии продукции</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Требования к началу срока поставки продукции</w:t>
            </w:r>
          </w:p>
        </w:tc>
        <w:tc>
          <w:tcPr>
            <w:tcW w:w="25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Требования к окончанию срока поставки продукции</w:t>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b/>
                <w:sz w:val="24"/>
                <w:szCs w:val="24"/>
                <w:lang w:eastAsia="ru-RU"/>
              </w:rPr>
              <w:t>1</w:t>
            </w:r>
          </w:p>
        </w:tc>
        <w:tc>
          <w:tcPr>
            <w:tcW w:w="4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b/>
                <w:sz w:val="24"/>
                <w:szCs w:val="24"/>
                <w:lang w:eastAsia="ru-RU"/>
              </w:rPr>
              <w:t>2</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40" w:after="40"/>
              <w:ind w:left="57" w:right="57" w:hanging="0"/>
              <w:jc w:val="center"/>
              <w:rPr>
                <w:rFonts w:ascii="Times New Roman" w:hAnsi="Times New Roman" w:eastAsia="Times New Roman"/>
                <w:sz w:val="24"/>
                <w:szCs w:val="24"/>
                <w:lang w:eastAsia="ru-RU"/>
              </w:rPr>
            </w:pPr>
            <w:r>
              <w:rPr>
                <w:rFonts w:eastAsia="Times New Roman" w:ascii="Times New Roman" w:hAnsi="Times New Roman"/>
                <w:b/>
                <w:sz w:val="24"/>
                <w:szCs w:val="24"/>
                <w:lang w:eastAsia="ru-RU"/>
              </w:rPr>
              <w:t>3</w:t>
            </w:r>
          </w:p>
        </w:tc>
        <w:tc>
          <w:tcPr>
            <w:tcW w:w="25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40" w:after="40"/>
              <w:ind w:left="57" w:right="57" w:hanging="0"/>
              <w:jc w:val="center"/>
              <w:rPr>
                <w:rFonts w:ascii="Times New Roman" w:hAnsi="Times New Roman" w:eastAsia="Times New Roman"/>
                <w:sz w:val="24"/>
                <w:szCs w:val="24"/>
                <w:lang w:eastAsia="ru-RU"/>
              </w:rPr>
            </w:pPr>
            <w:r>
              <w:rPr>
                <w:rFonts w:eastAsia="Times New Roman" w:ascii="Times New Roman" w:hAnsi="Times New Roman"/>
                <w:b/>
                <w:sz w:val="24"/>
                <w:szCs w:val="24"/>
                <w:lang w:eastAsia="ru-RU"/>
              </w:rPr>
              <w:t>4</w:t>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t>1</w:t>
            </w:r>
          </w:p>
        </w:tc>
        <w:tc>
          <w:tcPr>
            <w:tcW w:w="4266" w:type="dxa"/>
            <w:tcBorders>
              <w:top w:val="single" w:sz="4" w:space="0" w:color="000000"/>
              <w:left w:val="single" w:sz="4" w:space="0" w:color="000000"/>
              <w:bottom w:val="single" w:sz="4" w:space="0" w:color="000000"/>
              <w:right w:val="single" w:sz="4" w:space="0" w:color="000000"/>
            </w:tcBorders>
            <w:shd w:fill="FFFFFF" w:val="clear"/>
          </w:tcPr>
          <w:p>
            <w:pPr>
              <w:pStyle w:val="Style23"/>
              <w:widowControl w:val="false"/>
              <w:spacing w:before="0" w:after="200"/>
              <w:rPr/>
            </w:pPr>
            <w:r>
              <w:rPr>
                <w:rStyle w:val="Style17"/>
                <w:rFonts w:eastAsia="Calibri" w:cs="Times New Roman" w:ascii="Times New Roman" w:hAnsi="Times New Roman"/>
                <w:b w:val="false"/>
                <w:bCs w:val="false"/>
                <w:i w:val="false"/>
                <w:color w:val="000000"/>
                <w:kern w:val="0"/>
                <w:sz w:val="26"/>
                <w:szCs w:val="26"/>
                <w:shd w:fill="auto" w:val="clear"/>
                <w:lang w:val="ru-RU" w:eastAsia="ru-RU" w:bidi="ar-SA"/>
              </w:rPr>
              <w:t>ОКПД2 29.20.21.110 Поставка контейнеров морских для нужд Волжского филиала АО «Гидроремонт-ВКК»</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rPr>
            </w:pPr>
            <w:r>
              <w:rPr>
                <w:rFonts w:ascii="Times New Roman" w:hAnsi="Times New Roman"/>
                <w:sz w:val="24"/>
                <w:szCs w:val="24"/>
              </w:rPr>
              <w:t>С даты подписания договора</w:t>
            </w:r>
          </w:p>
        </w:tc>
        <w:tc>
          <w:tcPr>
            <w:tcW w:w="25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rPr>
            </w:pPr>
            <w:r>
              <w:rPr>
                <w:rFonts w:ascii="Times New Roman" w:hAnsi="Times New Roman"/>
                <w:color w:val="000000"/>
                <w:sz w:val="24"/>
                <w:szCs w:val="24"/>
              </w:rPr>
              <w:t>В течение 3 рабочих дней с момента получения заявки на партию продукции.</w:t>
            </w:r>
          </w:p>
        </w:tc>
      </w:tr>
    </w:tbl>
    <w:p>
      <w:pPr>
        <w:pStyle w:val="Normal"/>
        <w:keepNext w:val="true"/>
        <w:keepLines/>
        <w:numPr>
          <w:ilvl w:val="0"/>
          <w:numId w:val="0"/>
        </w:numPr>
        <w:spacing w:lineRule="auto" w:line="240" w:before="240" w:after="60"/>
        <w:ind w:left="0" w:hanging="0"/>
        <w:outlineLvl w:val="0"/>
        <w:rPr>
          <w:sz w:val="24"/>
          <w:szCs w:val="24"/>
        </w:rPr>
      </w:pPr>
      <w:r>
        <w:rPr>
          <w:rFonts w:ascii="Times New Roman" w:hAnsi="Times New Roman"/>
          <w:b/>
          <w:sz w:val="24"/>
          <w:szCs w:val="24"/>
          <w:lang w:val="x-none" w:eastAsia="x-none"/>
        </w:rPr>
        <w:t>2.2. Требования к качеству продукции</w:t>
      </w:r>
    </w:p>
    <w:p>
      <w:pPr>
        <w:pStyle w:val="Normal"/>
        <w:numPr>
          <w:ilvl w:val="0"/>
          <w:numId w:val="0"/>
        </w:numPr>
        <w:spacing w:lineRule="auto" w:line="240" w:before="240" w:after="60"/>
        <w:ind w:left="0" w:hanging="0"/>
        <w:outlineLvl w:val="0"/>
        <w:rPr>
          <w:sz w:val="24"/>
          <w:szCs w:val="24"/>
        </w:rPr>
      </w:pPr>
      <w:r>
        <w:rPr>
          <w:rFonts w:ascii="Times New Roman" w:hAnsi="Times New Roman"/>
          <w:b/>
          <w:sz w:val="24"/>
          <w:szCs w:val="24"/>
          <w:lang w:val="x-none" w:eastAsia="x-none"/>
        </w:rPr>
        <w:t xml:space="preserve">Таблица 3. Требования к продукции </w:t>
      </w:r>
    </w:p>
    <w:p>
      <w:pPr>
        <w:pStyle w:val="Normal"/>
        <w:numPr>
          <w:ilvl w:val="0"/>
          <w:numId w:val="0"/>
        </w:numPr>
        <w:spacing w:lineRule="auto" w:line="240" w:before="240" w:after="60"/>
        <w:ind w:left="0" w:hanging="0"/>
        <w:outlineLvl w:val="0"/>
        <w:rPr>
          <w:sz w:val="24"/>
          <w:szCs w:val="24"/>
        </w:rPr>
      </w:pPr>
      <w:r>
        <w:rPr>
          <w:rFonts w:ascii="Times New Roman" w:hAnsi="Times New Roman"/>
          <w:sz w:val="24"/>
          <w:szCs w:val="24"/>
          <w:lang w:val="x-none" w:eastAsia="x-none"/>
        </w:rPr>
        <w:t>Наименование продукции: ОКПД2 29.20.21.110 Поставка контейнеров морских для нужд Волжского филиала АО «Гидроремонт-ВКК»</w:t>
      </w:r>
    </w:p>
    <w:tbl>
      <w:tblPr>
        <w:tblStyle w:val="aff9"/>
        <w:tblW w:w="9974"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881"/>
        <w:gridCol w:w="2779"/>
        <w:gridCol w:w="6314"/>
      </w:tblGrid>
      <w:tr>
        <w:trPr>
          <w:trHeight w:val="609" w:hRule="atLeast"/>
        </w:trPr>
        <w:tc>
          <w:tcPr>
            <w:tcW w:w="881" w:type="dxa"/>
            <w:tcBorders/>
            <w:vAlign w:val="center"/>
          </w:tcPr>
          <w:p>
            <w:pPr>
              <w:pStyle w:val="Normal"/>
              <w:widowControl w:val="false"/>
              <w:suppressAutoHyphens w:val="true"/>
              <w:spacing w:lineRule="auto" w:line="240" w:before="0" w:after="0"/>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 xml:space="preserve">№ </w:t>
            </w:r>
            <w:r>
              <w:rPr>
                <w:rFonts w:eastAsia="Calibri" w:cs="Times New Roman" w:ascii="Times New Roman" w:hAnsi="Times New Roman"/>
                <w:b/>
                <w:bCs/>
                <w:kern w:val="0"/>
                <w:sz w:val="24"/>
                <w:szCs w:val="24"/>
                <w:lang w:val="ru-RU" w:bidi="ar-SA"/>
              </w:rPr>
              <w:t>п/п</w:t>
            </w:r>
          </w:p>
        </w:tc>
        <w:tc>
          <w:tcPr>
            <w:tcW w:w="2779" w:type="dxa"/>
            <w:tcBorders/>
            <w:vAlign w:val="center"/>
          </w:tcPr>
          <w:p>
            <w:pPr>
              <w:pStyle w:val="Normal"/>
              <w:widowControl w:val="false"/>
              <w:suppressAutoHyphens w:val="true"/>
              <w:spacing w:lineRule="auto" w:line="240" w:before="0" w:after="0"/>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Наименование параметра</w:t>
            </w:r>
          </w:p>
        </w:tc>
        <w:tc>
          <w:tcPr>
            <w:tcW w:w="6314" w:type="dxa"/>
            <w:tcBorders/>
            <w:vAlign w:val="center"/>
          </w:tcPr>
          <w:p>
            <w:pPr>
              <w:pStyle w:val="Normal"/>
              <w:widowControl w:val="false"/>
              <w:suppressAutoHyphens w:val="true"/>
              <w:spacing w:lineRule="auto" w:line="240" w:before="0" w:after="0"/>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Требование заказчика</w:t>
            </w:r>
          </w:p>
        </w:tc>
      </w:tr>
      <w:tr>
        <w:trPr/>
        <w:tc>
          <w:tcPr>
            <w:tcW w:w="881"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b/>
                <w:kern w:val="0"/>
                <w:sz w:val="24"/>
                <w:szCs w:val="24"/>
                <w:lang w:val="ru-RU" w:bidi="ar-SA"/>
              </w:rPr>
              <w:t>1</w:t>
            </w:r>
          </w:p>
        </w:tc>
        <w:tc>
          <w:tcPr>
            <w:tcW w:w="2779" w:type="dxa"/>
            <w:tcBorders/>
            <w:vAlign w:val="center"/>
          </w:tcPr>
          <w:p>
            <w:pPr>
              <w:pStyle w:val="Normal"/>
              <w:widowControl w:val="false"/>
              <w:suppressAutoHyphens w:val="true"/>
              <w:spacing w:lineRule="auto" w:line="240" w:before="0" w:after="0"/>
              <w:jc w:val="center"/>
              <w:rPr>
                <w:rFonts w:ascii="Times New Roman" w:hAnsi="Times New Roman"/>
                <w:b/>
                <w:sz w:val="24"/>
                <w:szCs w:val="24"/>
              </w:rPr>
            </w:pPr>
            <w:r>
              <w:rPr>
                <w:rFonts w:eastAsia="Calibri" w:cs="Times New Roman" w:ascii="Times New Roman" w:hAnsi="Times New Roman"/>
                <w:b/>
                <w:kern w:val="0"/>
                <w:sz w:val="24"/>
                <w:szCs w:val="24"/>
                <w:lang w:val="ru-RU" w:bidi="ar-SA"/>
              </w:rPr>
              <w:t>2</w:t>
            </w:r>
          </w:p>
        </w:tc>
        <w:tc>
          <w:tcPr>
            <w:tcW w:w="6314" w:type="dxa"/>
            <w:tcBorders/>
            <w:vAlign w:val="center"/>
          </w:tcPr>
          <w:p>
            <w:pPr>
              <w:pStyle w:val="Normal"/>
              <w:widowControl w:val="false"/>
              <w:suppressAutoHyphens w:val="true"/>
              <w:spacing w:lineRule="auto" w:line="240" w:before="0" w:after="0"/>
              <w:jc w:val="center"/>
              <w:rPr>
                <w:rFonts w:ascii="Times New Roman" w:hAnsi="Times New Roman"/>
                <w:b/>
                <w:sz w:val="24"/>
                <w:szCs w:val="24"/>
              </w:rPr>
            </w:pPr>
            <w:r>
              <w:rPr>
                <w:rFonts w:eastAsia="Calibri" w:cs="Times New Roman" w:ascii="Times New Roman" w:hAnsi="Times New Roman"/>
                <w:b/>
                <w:kern w:val="0"/>
                <w:sz w:val="24"/>
                <w:szCs w:val="24"/>
                <w:lang w:val="ru-RU" w:bidi="ar-SA"/>
              </w:rPr>
              <w:t>3</w:t>
            </w:r>
          </w:p>
        </w:tc>
      </w:tr>
      <w:tr>
        <w:trPr/>
        <w:tc>
          <w:tcPr>
            <w:tcW w:w="881" w:type="dxa"/>
            <w:tcBorders/>
            <w:vAlign w:val="center"/>
          </w:tcPr>
          <w:p>
            <w:pPr>
              <w:pStyle w:val="ListParagraph"/>
              <w:widowControl w:val="false"/>
              <w:numPr>
                <w:ilvl w:val="0"/>
                <w:numId w:val="1"/>
              </w:numPr>
              <w:suppressAutoHyphens w:val="true"/>
              <w:spacing w:lineRule="auto" w:line="240" w:before="0" w:after="0"/>
              <w:contextualSpacing/>
              <w:jc w:val="center"/>
              <w:rPr>
                <w:rFonts w:ascii="Times New Roman" w:hAnsi="Times New Roman"/>
                <w:sz w:val="24"/>
                <w:szCs w:val="24"/>
              </w:rPr>
            </w:pPr>
            <w:r>
              <w:rPr>
                <w:rFonts w:ascii="Times New Roman" w:hAnsi="Times New Roman"/>
                <w:sz w:val="24"/>
                <w:szCs w:val="24"/>
              </w:rPr>
            </w:r>
          </w:p>
        </w:tc>
        <w:tc>
          <w:tcPr>
            <w:tcW w:w="9093" w:type="dxa"/>
            <w:gridSpan w:val="2"/>
            <w:tcBorders/>
            <w:vAlign w:val="cente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b/>
                <w:bCs/>
                <w:kern w:val="0"/>
                <w:sz w:val="24"/>
                <w:szCs w:val="24"/>
                <w:lang w:val="ru-RU" w:bidi="ar-SA"/>
              </w:rPr>
              <w:t>Контейнер морской,  (ДхШхВ) 12192х2438х2896 мм</w:t>
            </w:r>
          </w:p>
        </w:tc>
      </w:tr>
      <w:tr>
        <w:trPr/>
        <w:tc>
          <w:tcPr>
            <w:tcW w:w="881" w:type="dxa"/>
            <w:tcBorders/>
            <w:vAlign w:val="center"/>
          </w:tcPr>
          <w:p>
            <w:pPr>
              <w:pStyle w:val="ListParagraph"/>
              <w:widowControl w:val="false"/>
              <w:numPr>
                <w:ilvl w:val="0"/>
                <w:numId w:val="0"/>
              </w:numPr>
              <w:suppressAutoHyphens w:val="true"/>
              <w:spacing w:lineRule="auto" w:line="240" w:before="0" w:after="0"/>
              <w:ind w:left="-117" w:hanging="0"/>
              <w:contextualSpacing/>
              <w:jc w:val="center"/>
              <w:rPr>
                <w:rFonts w:ascii="Times New Roman" w:hAnsi="Times New Roman"/>
                <w:sz w:val="24"/>
                <w:szCs w:val="24"/>
              </w:rPr>
            </w:pPr>
            <w:r>
              <w:rPr>
                <w:rFonts w:ascii="Times New Roman" w:hAnsi="Times New Roman"/>
                <w:sz w:val="24"/>
                <w:szCs w:val="24"/>
              </w:rPr>
              <w:t>1.1</w:t>
            </w:r>
          </w:p>
        </w:tc>
        <w:tc>
          <w:tcPr>
            <w:tcW w:w="2779"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Длинна, мм</w:t>
            </w:r>
          </w:p>
        </w:tc>
        <w:tc>
          <w:tcPr>
            <w:tcW w:w="6314"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12 192</w:t>
            </w:r>
          </w:p>
        </w:tc>
      </w:tr>
      <w:tr>
        <w:trPr/>
        <w:tc>
          <w:tcPr>
            <w:tcW w:w="881" w:type="dxa"/>
            <w:tcBorders/>
            <w:vAlign w:val="center"/>
          </w:tcPr>
          <w:p>
            <w:pPr>
              <w:pStyle w:val="ListParagraph"/>
              <w:widowControl w:val="false"/>
              <w:numPr>
                <w:ilvl w:val="0"/>
                <w:numId w:val="0"/>
              </w:numPr>
              <w:suppressAutoHyphens w:val="true"/>
              <w:spacing w:lineRule="auto" w:line="240" w:before="0" w:after="0"/>
              <w:ind w:left="-117" w:hanging="0"/>
              <w:contextualSpacing/>
              <w:jc w:val="center"/>
              <w:rPr>
                <w:rFonts w:ascii="Times New Roman" w:hAnsi="Times New Roman"/>
                <w:sz w:val="24"/>
                <w:szCs w:val="24"/>
              </w:rPr>
            </w:pPr>
            <w:r>
              <w:rPr>
                <w:rFonts w:ascii="Times New Roman" w:hAnsi="Times New Roman"/>
                <w:sz w:val="24"/>
                <w:szCs w:val="24"/>
              </w:rPr>
              <w:t>1.2</w:t>
            </w:r>
          </w:p>
        </w:tc>
        <w:tc>
          <w:tcPr>
            <w:tcW w:w="2779"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Ширина, мм</w:t>
            </w:r>
          </w:p>
        </w:tc>
        <w:tc>
          <w:tcPr>
            <w:tcW w:w="6314"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2 438</w:t>
            </w:r>
          </w:p>
        </w:tc>
      </w:tr>
      <w:tr>
        <w:trPr>
          <w:trHeight w:val="181" w:hRule="atLeast"/>
        </w:trPr>
        <w:tc>
          <w:tcPr>
            <w:tcW w:w="881"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1.3</w:t>
            </w:r>
          </w:p>
        </w:tc>
        <w:tc>
          <w:tcPr>
            <w:tcW w:w="2779"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Высота, мм</w:t>
            </w:r>
          </w:p>
        </w:tc>
        <w:tc>
          <w:tcPr>
            <w:tcW w:w="6314"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2 896</w:t>
            </w:r>
          </w:p>
        </w:tc>
      </w:tr>
      <w:tr>
        <w:trPr/>
        <w:tc>
          <w:tcPr>
            <w:tcW w:w="881"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1.4</w:t>
            </w:r>
          </w:p>
        </w:tc>
        <w:tc>
          <w:tcPr>
            <w:tcW w:w="2779"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Соответствие стандарту</w:t>
            </w:r>
          </w:p>
        </w:tc>
        <w:tc>
          <w:tcPr>
            <w:tcW w:w="6314"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ГОСТР 53350-2009</w:t>
            </w:r>
          </w:p>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(ИСО 668:1995)</w:t>
            </w:r>
          </w:p>
        </w:tc>
      </w:tr>
      <w:tr>
        <w:trPr/>
        <w:tc>
          <w:tcPr>
            <w:tcW w:w="881"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1.5</w:t>
            </w:r>
          </w:p>
        </w:tc>
        <w:tc>
          <w:tcPr>
            <w:tcW w:w="2779"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ascii="Times New Roman" w:hAnsi="Times New Roman"/>
                <w:sz w:val="24"/>
                <w:szCs w:val="24"/>
              </w:rPr>
              <w:t>Товарное обозначение</w:t>
            </w:r>
          </w:p>
        </w:tc>
        <w:tc>
          <w:tcPr>
            <w:tcW w:w="6314"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40-футовый</w:t>
            </w:r>
          </w:p>
        </w:tc>
      </w:tr>
      <w:tr>
        <w:trPr/>
        <w:tc>
          <w:tcPr>
            <w:tcW w:w="881"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1.6</w:t>
            </w:r>
          </w:p>
        </w:tc>
        <w:tc>
          <w:tcPr>
            <w:tcW w:w="2779"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ascii="Times New Roman" w:hAnsi="Times New Roman"/>
                <w:sz w:val="24"/>
                <w:szCs w:val="24"/>
              </w:rPr>
              <w:t>Масса брутто, кг</w:t>
            </w:r>
          </w:p>
        </w:tc>
        <w:tc>
          <w:tcPr>
            <w:tcW w:w="6314"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30 480</w:t>
            </w:r>
          </w:p>
        </w:tc>
      </w:tr>
      <w:tr>
        <w:trPr/>
        <w:tc>
          <w:tcPr>
            <w:tcW w:w="881" w:type="dxa"/>
            <w:tcBorders>
              <w:top w:val="nil"/>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2779" w:type="dxa"/>
            <w:tcBorders>
              <w:top w:val="nil"/>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ascii="Times New Roman" w:hAnsi="Times New Roman"/>
                <w:sz w:val="24"/>
                <w:szCs w:val="24"/>
              </w:rPr>
            </w:r>
          </w:p>
        </w:tc>
        <w:tc>
          <w:tcPr>
            <w:tcW w:w="6314" w:type="dxa"/>
            <w:tcBorders>
              <w:top w:val="nil"/>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1" w:type="dxa"/>
            <w:tcBorders>
              <w:top w:val="nil"/>
            </w:tcBorders>
            <w:vAlign w:val="center"/>
          </w:tcPr>
          <w:p>
            <w:pPr>
              <w:pStyle w:val="Normal"/>
              <w:widowControl w:val="false"/>
              <w:suppressAutoHyphens w:val="true"/>
              <w:spacing w:lineRule="auto" w:line="240" w:before="0" w:after="0"/>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 xml:space="preserve">№ </w:t>
            </w:r>
            <w:r>
              <w:rPr>
                <w:rFonts w:eastAsia="Calibri" w:cs="Times New Roman" w:ascii="Times New Roman" w:hAnsi="Times New Roman"/>
                <w:b/>
                <w:bCs/>
                <w:kern w:val="0"/>
                <w:sz w:val="24"/>
                <w:szCs w:val="24"/>
                <w:lang w:val="ru-RU" w:bidi="ar-SA"/>
              </w:rPr>
              <w:t>п/п</w:t>
            </w:r>
          </w:p>
        </w:tc>
        <w:tc>
          <w:tcPr>
            <w:tcW w:w="2779" w:type="dxa"/>
            <w:tcBorders>
              <w:top w:val="nil"/>
            </w:tcBorders>
            <w:shd w:color="auto" w:fill="auto" w:val="clear"/>
          </w:tcPr>
          <w:p>
            <w:pPr>
              <w:pStyle w:val="Normal"/>
              <w:widowControl w:val="false"/>
              <w:suppressAutoHyphens w:val="true"/>
              <w:spacing w:lineRule="auto" w:line="240" w:before="0" w:after="0"/>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Наименование параметра</w:t>
            </w:r>
          </w:p>
        </w:tc>
        <w:tc>
          <w:tcPr>
            <w:tcW w:w="6314" w:type="dxa"/>
            <w:tcBorders>
              <w:top w:val="nil"/>
            </w:tcBorders>
            <w:shd w:color="auto" w:fill="auto" w:val="clear"/>
          </w:tcPr>
          <w:p>
            <w:pPr>
              <w:pStyle w:val="Normal"/>
              <w:widowControl w:val="false"/>
              <w:suppressAutoHyphens w:val="true"/>
              <w:spacing w:lineRule="auto" w:line="240" w:before="0" w:after="0"/>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Требование заказчика</w:t>
            </w:r>
          </w:p>
        </w:tc>
      </w:tr>
      <w:tr>
        <w:trPr/>
        <w:tc>
          <w:tcPr>
            <w:tcW w:w="881" w:type="dxa"/>
            <w:tcBorders>
              <w:top w:val="nil"/>
            </w:tcBorders>
            <w:vAlign w:val="center"/>
          </w:tcPr>
          <w:p>
            <w:pPr>
              <w:pStyle w:val="ListParagraph"/>
              <w:widowControl w:val="false"/>
              <w:numPr>
                <w:ilvl w:val="0"/>
                <w:numId w:val="1"/>
              </w:numPr>
              <w:suppressAutoHyphens w:val="true"/>
              <w:spacing w:lineRule="auto" w:line="240" w:before="0" w:after="0"/>
              <w:contextualSpacing/>
              <w:jc w:val="center"/>
              <w:rPr>
                <w:rFonts w:ascii="Times New Roman" w:hAnsi="Times New Roman"/>
                <w:sz w:val="24"/>
                <w:szCs w:val="24"/>
              </w:rPr>
            </w:pPr>
            <w:r>
              <w:rPr>
                <w:rFonts w:ascii="Times New Roman" w:hAnsi="Times New Roman"/>
                <w:sz w:val="24"/>
                <w:szCs w:val="24"/>
              </w:rPr>
            </w:r>
          </w:p>
        </w:tc>
        <w:tc>
          <w:tcPr>
            <w:tcW w:w="909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Calibri" w:cs="Times New Roman"/>
                <w:b/>
                <w:bCs/>
                <w:color w:val="auto"/>
                <w:kern w:val="0"/>
                <w:sz w:val="24"/>
                <w:szCs w:val="24"/>
                <w:lang w:val="ru-RU" w:eastAsia="en-US" w:bidi="ar-SA"/>
              </w:rPr>
            </w:pPr>
            <w:r>
              <w:rPr>
                <w:rFonts w:eastAsia="Calibri" w:cs="Times New Roman" w:ascii="Times New Roman" w:hAnsi="Times New Roman"/>
                <w:b/>
                <w:bCs/>
                <w:color w:val="auto"/>
                <w:kern w:val="0"/>
                <w:sz w:val="24"/>
                <w:szCs w:val="24"/>
                <w:lang w:val="ru-RU" w:eastAsia="en-US" w:bidi="ar-SA"/>
              </w:rPr>
              <w:t>Контейнер морской,  (ДхШхВ) 6058х2438х2896(либо 2591)мм</w:t>
            </w:r>
          </w:p>
        </w:tc>
      </w:tr>
      <w:tr>
        <w:trPr/>
        <w:tc>
          <w:tcPr>
            <w:tcW w:w="881" w:type="dxa"/>
            <w:tcBorders>
              <w:top w:val="nil"/>
            </w:tcBorders>
            <w:vAlign w:val="center"/>
          </w:tcPr>
          <w:p>
            <w:pPr>
              <w:pStyle w:val="ListParagraph"/>
              <w:widowControl w:val="false"/>
              <w:numPr>
                <w:ilvl w:val="0"/>
                <w:numId w:val="0"/>
              </w:numPr>
              <w:suppressAutoHyphens w:val="true"/>
              <w:spacing w:lineRule="auto" w:line="240" w:before="0" w:after="0"/>
              <w:ind w:left="-117" w:hanging="0"/>
              <w:contextualSpacing/>
              <w:jc w:val="center"/>
              <w:rPr>
                <w:rFonts w:ascii="Times New Roman" w:hAnsi="Times New Roman"/>
                <w:sz w:val="24"/>
                <w:szCs w:val="24"/>
              </w:rPr>
            </w:pPr>
            <w:r>
              <w:rPr>
                <w:rFonts w:ascii="Times New Roman" w:hAnsi="Times New Roman"/>
                <w:sz w:val="24"/>
                <w:szCs w:val="24"/>
              </w:rPr>
              <w:t>1.1</w:t>
            </w:r>
          </w:p>
        </w:tc>
        <w:tc>
          <w:tcPr>
            <w:tcW w:w="2779" w:type="dxa"/>
            <w:tcBorders>
              <w:top w:val="nil"/>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Длинна, мм</w:t>
            </w:r>
          </w:p>
        </w:tc>
        <w:tc>
          <w:tcPr>
            <w:tcW w:w="6314" w:type="dxa"/>
            <w:tcBorders>
              <w:top w:val="nil"/>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6058</w:t>
            </w:r>
          </w:p>
        </w:tc>
      </w:tr>
      <w:tr>
        <w:trPr/>
        <w:tc>
          <w:tcPr>
            <w:tcW w:w="881" w:type="dxa"/>
            <w:tcBorders>
              <w:top w:val="nil"/>
            </w:tcBorders>
            <w:vAlign w:val="center"/>
          </w:tcPr>
          <w:p>
            <w:pPr>
              <w:pStyle w:val="ListParagraph"/>
              <w:widowControl w:val="false"/>
              <w:numPr>
                <w:ilvl w:val="0"/>
                <w:numId w:val="0"/>
              </w:numPr>
              <w:suppressAutoHyphens w:val="true"/>
              <w:spacing w:lineRule="auto" w:line="240" w:before="0" w:after="0"/>
              <w:ind w:left="-117" w:hanging="0"/>
              <w:contextualSpacing/>
              <w:jc w:val="center"/>
              <w:rPr>
                <w:rFonts w:ascii="Times New Roman" w:hAnsi="Times New Roman"/>
                <w:sz w:val="24"/>
                <w:szCs w:val="24"/>
              </w:rPr>
            </w:pPr>
            <w:r>
              <w:rPr>
                <w:rFonts w:ascii="Times New Roman" w:hAnsi="Times New Roman"/>
                <w:sz w:val="24"/>
                <w:szCs w:val="24"/>
              </w:rPr>
              <w:t>1.2</w:t>
            </w:r>
          </w:p>
        </w:tc>
        <w:tc>
          <w:tcPr>
            <w:tcW w:w="2779" w:type="dxa"/>
            <w:tcBorders>
              <w:top w:val="nil"/>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Ширина, мм</w:t>
            </w:r>
          </w:p>
        </w:tc>
        <w:tc>
          <w:tcPr>
            <w:tcW w:w="6314" w:type="dxa"/>
            <w:tcBorders>
              <w:top w:val="nil"/>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2 438</w:t>
            </w:r>
          </w:p>
        </w:tc>
      </w:tr>
      <w:tr>
        <w:trPr/>
        <w:tc>
          <w:tcPr>
            <w:tcW w:w="881" w:type="dxa"/>
            <w:tcBorders>
              <w:top w:val="nil"/>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1.3</w:t>
            </w:r>
          </w:p>
        </w:tc>
        <w:tc>
          <w:tcPr>
            <w:tcW w:w="2779" w:type="dxa"/>
            <w:tcBorders>
              <w:top w:val="nil"/>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Высота, мм</w:t>
            </w:r>
          </w:p>
        </w:tc>
        <w:tc>
          <w:tcPr>
            <w:tcW w:w="6314" w:type="dxa"/>
            <w:tcBorders>
              <w:top w:val="nil"/>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2 896 либо(2591)</w:t>
            </w:r>
          </w:p>
        </w:tc>
      </w:tr>
      <w:tr>
        <w:trPr/>
        <w:tc>
          <w:tcPr>
            <w:tcW w:w="881" w:type="dxa"/>
            <w:tcBorders>
              <w:top w:val="nil"/>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1.4</w:t>
            </w:r>
          </w:p>
        </w:tc>
        <w:tc>
          <w:tcPr>
            <w:tcW w:w="2779" w:type="dxa"/>
            <w:tcBorders>
              <w:top w:val="nil"/>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Соответствие стандарту</w:t>
            </w:r>
          </w:p>
        </w:tc>
        <w:tc>
          <w:tcPr>
            <w:tcW w:w="6314" w:type="dxa"/>
            <w:tcBorders>
              <w:top w:val="nil"/>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ГОСТР 53350-2009</w:t>
            </w:r>
          </w:p>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(ИСО 668:1995)</w:t>
            </w:r>
          </w:p>
        </w:tc>
      </w:tr>
      <w:tr>
        <w:trPr/>
        <w:tc>
          <w:tcPr>
            <w:tcW w:w="881" w:type="dxa"/>
            <w:tcBorders>
              <w:top w:val="nil"/>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1.5</w:t>
            </w:r>
          </w:p>
        </w:tc>
        <w:tc>
          <w:tcPr>
            <w:tcW w:w="2779" w:type="dxa"/>
            <w:tcBorders>
              <w:top w:val="nil"/>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ascii="Times New Roman" w:hAnsi="Times New Roman"/>
                <w:sz w:val="24"/>
                <w:szCs w:val="24"/>
              </w:rPr>
              <w:t>Товарное обозначение</w:t>
            </w:r>
          </w:p>
        </w:tc>
        <w:tc>
          <w:tcPr>
            <w:tcW w:w="6314" w:type="dxa"/>
            <w:tcBorders>
              <w:top w:val="nil"/>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20-футовый</w:t>
            </w:r>
          </w:p>
        </w:tc>
      </w:tr>
      <w:tr>
        <w:trPr/>
        <w:tc>
          <w:tcPr>
            <w:tcW w:w="881" w:type="dxa"/>
            <w:tcBorders/>
            <w:vAlign w:val="center"/>
          </w:tcPr>
          <w:p>
            <w:pPr>
              <w:pStyle w:val="ListParagraph"/>
              <w:widowControl w:val="false"/>
              <w:suppressAutoHyphens w:val="true"/>
              <w:spacing w:lineRule="auto" w:line="240" w:before="0" w:after="0"/>
              <w:ind w:left="737" w:hanging="794"/>
              <w:contextualSpacing/>
              <w:jc w:val="center"/>
              <w:rPr>
                <w:rFonts w:ascii="Times New Roman" w:hAnsi="Times New Roman"/>
                <w:b/>
                <w:sz w:val="24"/>
                <w:szCs w:val="24"/>
              </w:rPr>
            </w:pPr>
            <w:r>
              <w:rPr>
                <w:rFonts w:eastAsia="Calibri" w:cs="Times New Roman" w:ascii="Times New Roman" w:hAnsi="Times New Roman"/>
                <w:b/>
                <w:kern w:val="0"/>
                <w:sz w:val="24"/>
                <w:szCs w:val="24"/>
                <w:lang w:val="ru-RU" w:bidi="ar-SA"/>
              </w:rPr>
              <w:t>2.</w:t>
            </w:r>
          </w:p>
        </w:tc>
        <w:tc>
          <w:tcPr>
            <w:tcW w:w="9093" w:type="dxa"/>
            <w:gridSpan w:val="2"/>
            <w:tcBorders/>
            <w:vAlign w:val="center"/>
          </w:tcPr>
          <w:p>
            <w:pPr>
              <w:pStyle w:val="Normal"/>
              <w:widowControl w:val="false"/>
              <w:suppressAutoHyphens w:val="true"/>
              <w:spacing w:lineRule="auto" w:line="240" w:before="0" w:after="0"/>
              <w:jc w:val="left"/>
              <w:rPr>
                <w:sz w:val="24"/>
                <w:szCs w:val="24"/>
              </w:rPr>
            </w:pPr>
            <w:r>
              <w:rPr>
                <w:rFonts w:eastAsia="Calibri" w:cs="Times New Roman" w:ascii="Times New Roman" w:hAnsi="Times New Roman"/>
                <w:b/>
                <w:kern w:val="0"/>
                <w:sz w:val="24"/>
                <w:szCs w:val="24"/>
                <w:lang w:val="ru-RU" w:bidi="ar-SA"/>
              </w:rPr>
              <w:t>Требования к гарантиям, гарантийному и послегарантийному обслуживанию</w:t>
            </w:r>
          </w:p>
        </w:tc>
      </w:tr>
      <w:tr>
        <w:trPr>
          <w:trHeight w:val="1448" w:hRule="atLeast"/>
        </w:trPr>
        <w:tc>
          <w:tcPr>
            <w:tcW w:w="881" w:type="dxa"/>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2.1</w:t>
            </w:r>
          </w:p>
        </w:tc>
        <w:tc>
          <w:tcPr>
            <w:tcW w:w="9093" w:type="dxa"/>
            <w:gridSpan w:val="2"/>
            <w:tcBorders/>
          </w:tcPr>
          <w:p>
            <w:pPr>
              <w:pStyle w:val="Normal"/>
              <w:widowControl w:val="false"/>
              <w:suppressAutoHyphens w:val="true"/>
              <w:spacing w:lineRule="auto" w:line="240" w:before="0" w:after="200"/>
              <w:jc w:val="both"/>
              <w:rPr>
                <w:rFonts w:ascii="Times New Roman" w:hAnsi="Times New Roman"/>
                <w:sz w:val="24"/>
                <w:szCs w:val="24"/>
              </w:rPr>
            </w:pPr>
            <w:r>
              <w:rPr>
                <w:rFonts w:eastAsia="Calibri" w:cs="Times New Roman" w:ascii="Times New Roman" w:hAnsi="Times New Roman"/>
                <w:kern w:val="0"/>
                <w:sz w:val="24"/>
                <w:szCs w:val="24"/>
                <w:lang w:val="ru-RU" w:bidi="ar-SA"/>
              </w:rPr>
              <w:t>Поставщик обязан установить на продукцию гарантийный срок 36 (Тридцать шесть) месяцев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p>
            <w:pPr>
              <w:pStyle w:val="Normal"/>
              <w:widowControl w:val="false"/>
              <w:suppressAutoHyphens w:val="true"/>
              <w:spacing w:lineRule="auto" w:line="240" w:before="0" w:after="200"/>
              <w:jc w:val="both"/>
              <w:rPr>
                <w:rFonts w:ascii="Times New Roman" w:hAnsi="Times New Roman"/>
                <w:sz w:val="24"/>
                <w:szCs w:val="24"/>
              </w:rPr>
            </w:pPr>
            <w:r>
              <w:rPr>
                <w:rFonts w:eastAsia="Calibri" w:cs="Times New Roman" w:ascii="Times New Roman" w:hAnsi="Times New Roman"/>
                <w:kern w:val="0"/>
                <w:sz w:val="24"/>
                <w:szCs w:val="24"/>
                <w:lang w:val="ru-RU" w:bidi="ar-SA"/>
              </w:rPr>
              <w:t>Установленный в отношении Продукции Гарантийный срок распространяется на все составные части и комплектующие Продукции.</w:t>
            </w:r>
          </w:p>
        </w:tc>
      </w:tr>
      <w:tr>
        <w:trPr/>
        <w:tc>
          <w:tcPr>
            <w:tcW w:w="881" w:type="dxa"/>
            <w:tcBorders/>
            <w:vAlign w:val="center"/>
          </w:tcPr>
          <w:p>
            <w:pPr>
              <w:pStyle w:val="ListParagraph"/>
              <w:widowControl w:val="false"/>
              <w:suppressAutoHyphens w:val="true"/>
              <w:spacing w:lineRule="auto" w:line="240" w:before="0" w:after="0"/>
              <w:ind w:left="737" w:hanging="850"/>
              <w:contextualSpacing/>
              <w:jc w:val="center"/>
              <w:rPr>
                <w:rFonts w:ascii="Times New Roman" w:hAnsi="Times New Roman"/>
                <w:b/>
                <w:sz w:val="24"/>
                <w:szCs w:val="24"/>
              </w:rPr>
            </w:pPr>
            <w:r>
              <w:rPr>
                <w:rFonts w:eastAsia="Calibri" w:cs="Times New Roman" w:ascii="Times New Roman" w:hAnsi="Times New Roman"/>
                <w:b/>
                <w:kern w:val="0"/>
                <w:sz w:val="24"/>
                <w:szCs w:val="24"/>
                <w:lang w:val="ru-RU" w:bidi="ar-SA"/>
              </w:rPr>
              <w:t>3.</w:t>
            </w:r>
          </w:p>
        </w:tc>
        <w:tc>
          <w:tcPr>
            <w:tcW w:w="9093" w:type="dxa"/>
            <w:gridSpan w:val="2"/>
            <w:tcBorders/>
            <w:vAlign w:val="center"/>
          </w:tcPr>
          <w:p>
            <w:pPr>
              <w:pStyle w:val="Normal"/>
              <w:widowControl w:val="false"/>
              <w:suppressAutoHyphens w:val="true"/>
              <w:spacing w:lineRule="auto" w:line="240" w:before="0" w:after="0"/>
              <w:jc w:val="left"/>
              <w:rPr>
                <w:rFonts w:ascii="Times New Roman" w:hAnsi="Times New Roman"/>
                <w:b/>
                <w:sz w:val="24"/>
                <w:szCs w:val="24"/>
              </w:rPr>
            </w:pPr>
            <w:r>
              <w:rPr>
                <w:rFonts w:eastAsia="Calibri" w:cs="Times New Roman" w:ascii="Times New Roman" w:hAnsi="Times New Roman"/>
                <w:b/>
                <w:kern w:val="0"/>
                <w:sz w:val="24"/>
                <w:szCs w:val="24"/>
                <w:lang w:val="ru-RU" w:bidi="ar-SA"/>
              </w:rPr>
              <w:t>Требования к комплектации и документам, поставляемым вместе с продукцией</w:t>
            </w:r>
          </w:p>
        </w:tc>
      </w:tr>
      <w:tr>
        <w:trPr/>
        <w:tc>
          <w:tcPr>
            <w:tcW w:w="881" w:type="dxa"/>
            <w:tcBorders/>
            <w:vAlign w:val="center"/>
          </w:tcPr>
          <w:p>
            <w:pPr>
              <w:pStyle w:val="ListParagraph"/>
              <w:widowControl w:val="false"/>
              <w:suppressAutoHyphens w:val="true"/>
              <w:spacing w:lineRule="auto" w:line="240" w:before="0" w:after="0"/>
              <w:ind w:left="-117" w:hanging="0"/>
              <w:contextualSpacing/>
              <w:jc w:val="center"/>
              <w:rPr>
                <w:highlight w:val="none"/>
                <w:shd w:fill="auto" w:val="clear"/>
              </w:rPr>
            </w:pPr>
            <w:r>
              <w:rPr>
                <w:rFonts w:eastAsia="Calibri" w:cs="Times New Roman" w:ascii="Times New Roman" w:hAnsi="Times New Roman"/>
                <w:kern w:val="0"/>
                <w:sz w:val="24"/>
                <w:szCs w:val="24"/>
                <w:shd w:fill="auto" w:val="clear"/>
                <w:lang w:val="ru-RU" w:bidi="ar-SA"/>
              </w:rPr>
              <w:t>3.1</w:t>
            </w:r>
          </w:p>
        </w:tc>
        <w:tc>
          <w:tcPr>
            <w:tcW w:w="9093" w:type="dxa"/>
            <w:gridSpan w:val="2"/>
            <w:tcBorders/>
          </w:tcPr>
          <w:p>
            <w:pPr>
              <w:pStyle w:val="Normal"/>
              <w:keepNext w:val="true"/>
              <w:widowControl w:val="false"/>
              <w:numPr>
                <w:ilvl w:val="0"/>
                <w:numId w:val="0"/>
              </w:numPr>
              <w:spacing w:lineRule="auto" w:line="240" w:before="62" w:after="62"/>
              <w:ind w:left="0" w:hanging="0"/>
              <w:outlineLvl w:val="3"/>
              <w:rPr>
                <w:highlight w:val="none"/>
                <w:shd w:fill="auto" w:val="clear"/>
              </w:rPr>
            </w:pPr>
            <w:r>
              <w:rPr>
                <w:rFonts w:eastAsia="Calibri" w:cs="Times New Roman" w:ascii="Times New Roman" w:hAnsi="Times New Roman"/>
                <w:kern w:val="0"/>
                <w:sz w:val="24"/>
                <w:szCs w:val="24"/>
                <w:shd w:fill="auto" w:val="clear"/>
                <w:lang w:val="ru-RU" w:eastAsia="ru-RU" w:bidi="ar-SA"/>
              </w:rPr>
              <w:t>Поставщик должен предоставить копии документов, подтверждающих соответствие предлагаемой продукции обязательным требованиям нормативных документов, действующих в РФ, (сертификаты соответствия, документы о качестве и другие), если обязательность такого подтверждения соответствия установлена нормативными документами РФ.</w:t>
            </w:r>
          </w:p>
          <w:p>
            <w:pPr>
              <w:pStyle w:val="Normal"/>
              <w:widowControl w:val="false"/>
              <w:suppressAutoHyphens w:val="true"/>
              <w:spacing w:lineRule="auto" w:line="240" w:before="0" w:after="0"/>
              <w:jc w:val="both"/>
              <w:rPr>
                <w:highlight w:val="none"/>
                <w:shd w:fill="auto" w:val="clear"/>
              </w:rPr>
            </w:pPr>
            <w:r>
              <w:rPr>
                <w:rFonts w:eastAsia="Calibri" w:cs="Times New Roman" w:ascii="Times New Roman" w:hAnsi="Times New Roman"/>
                <w:kern w:val="0"/>
                <w:sz w:val="24"/>
                <w:szCs w:val="24"/>
                <w:shd w:fill="auto" w:val="clear"/>
                <w:lang w:val="ru-RU" w:eastAsia="ru-RU" w:bidi="ar-SA"/>
              </w:rPr>
              <w:t>Акт периодического освидетельствования грузового(ых) контейнера(ов) РМРС.</w:t>
            </w:r>
          </w:p>
          <w:p>
            <w:pPr>
              <w:pStyle w:val="Normal"/>
              <w:widowControl w:val="false"/>
              <w:suppressAutoHyphens w:val="true"/>
              <w:spacing w:lineRule="auto" w:line="240" w:before="0" w:after="0"/>
              <w:jc w:val="both"/>
              <w:rPr>
                <w:highlight w:val="none"/>
                <w:shd w:fill="auto" w:val="clear"/>
              </w:rPr>
            </w:pPr>
            <w:r>
              <w:rPr>
                <w:rFonts w:eastAsia="Calibri" w:cs="Times New Roman" w:ascii="Times New Roman" w:hAnsi="Times New Roman"/>
                <w:kern w:val="0"/>
                <w:sz w:val="24"/>
                <w:szCs w:val="24"/>
                <w:shd w:fill="auto" w:val="clear"/>
                <w:lang w:val="ru-RU" w:bidi="ar-SA"/>
              </w:rPr>
              <w:t>Товарную накладную унифицированной формы ТОРГ-12(УПД) в 2 экз.</w:t>
            </w:r>
          </w:p>
        </w:tc>
      </w:tr>
      <w:tr>
        <w:trPr/>
        <w:tc>
          <w:tcPr>
            <w:tcW w:w="881"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4</w:t>
            </w:r>
          </w:p>
        </w:tc>
        <w:tc>
          <w:tcPr>
            <w:tcW w:w="9093" w:type="dxa"/>
            <w:gridSpan w:val="2"/>
            <w:tcBorders>
              <w:top w:val="nil"/>
            </w:tcBorders>
          </w:tcPr>
          <w:p>
            <w:pPr>
              <w:pStyle w:val="Normal"/>
              <w:widowControl w:val="false"/>
              <w:suppressAutoHyphens w:val="true"/>
              <w:spacing w:lineRule="auto" w:line="240" w:before="0" w:after="0"/>
              <w:jc w:val="left"/>
              <w:rPr>
                <w:highlight w:val="none"/>
                <w:shd w:fill="auto" w:val="clear"/>
              </w:rPr>
            </w:pPr>
            <w:r>
              <w:rPr>
                <w:rFonts w:eastAsia="Calibri" w:cs="Times New Roman" w:ascii="Times New Roman" w:hAnsi="Times New Roman"/>
                <w:b/>
                <w:bCs/>
                <w:kern w:val="0"/>
                <w:sz w:val="24"/>
                <w:szCs w:val="24"/>
                <w:shd w:fill="auto" w:val="clear"/>
                <w:lang w:val="ru-RU" w:bidi="ar-SA"/>
              </w:rPr>
              <w:t>Требования к доставке,  маркировке, упаковке, транспортировке, перемещению, условиям хранения, приемке и испытаниям</w:t>
            </w:r>
          </w:p>
        </w:tc>
      </w:tr>
      <w:tr>
        <w:trPr/>
        <w:tc>
          <w:tcPr>
            <w:tcW w:w="881"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4.1</w:t>
            </w:r>
          </w:p>
        </w:tc>
        <w:tc>
          <w:tcPr>
            <w:tcW w:w="9093" w:type="dxa"/>
            <w:gridSpan w:val="2"/>
            <w:tcBorders>
              <w:top w:val="nil"/>
            </w:tcBorders>
          </w:tcPr>
          <w:p>
            <w:pPr>
              <w:pStyle w:val="Normal"/>
              <w:widowControl w:val="false"/>
              <w:suppressAutoHyphens w:val="true"/>
              <w:spacing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Место поставки:</w:t>
            </w:r>
            <w:r>
              <w:rPr>
                <w:rFonts w:eastAsia="Calibri" w:cs="Times New Roman"/>
                <w:kern w:val="0"/>
                <w:sz w:val="24"/>
                <w:szCs w:val="24"/>
                <w:shd w:fill="auto" w:val="clear"/>
                <w:lang w:val="ru-RU" w:bidi="ar-SA"/>
              </w:rPr>
              <w:t xml:space="preserve"> </w:t>
            </w:r>
            <w:r>
              <w:rPr>
                <w:rFonts w:eastAsia="Times New Roman" w:cs="Times New Roman" w:ascii="Times New Roman" w:hAnsi="Times New Roman"/>
                <w:kern w:val="0"/>
                <w:sz w:val="24"/>
                <w:szCs w:val="24"/>
                <w:shd w:fill="auto" w:val="clear"/>
                <w:lang w:val="ru-RU" w:eastAsia="ru-RU" w:bidi="ar-SA"/>
              </w:rPr>
              <w:t>404130, Волгоградская обл., г.Волжский, пр-т Ленина 1А .</w:t>
            </w:r>
          </w:p>
        </w:tc>
      </w:tr>
      <w:tr>
        <w:trPr/>
        <w:tc>
          <w:tcPr>
            <w:tcW w:w="881"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4.2</w:t>
            </w:r>
          </w:p>
        </w:tc>
        <w:tc>
          <w:tcPr>
            <w:tcW w:w="9093" w:type="dxa"/>
            <w:gridSpan w:val="2"/>
            <w:tcBorders>
              <w:top w:val="nil"/>
            </w:tcBorders>
          </w:tcPr>
          <w:p>
            <w:pPr>
              <w:pStyle w:val="Normal"/>
              <w:widowControl w:val="false"/>
              <w:suppressAutoHyphens w:val="true"/>
              <w:spacing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Приемка продукции:</w:t>
            </w:r>
          </w:p>
          <w:p>
            <w:pPr>
              <w:pStyle w:val="Normal"/>
              <w:widowControl w:val="false"/>
              <w:suppressAutoHyphens w:val="true"/>
              <w:spacing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Только в рабочие дни с 9-00 до 11-00 и с 13-00 до 16-00</w:t>
            </w:r>
          </w:p>
        </w:tc>
      </w:tr>
      <w:tr>
        <w:trPr/>
        <w:tc>
          <w:tcPr>
            <w:tcW w:w="881"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4.3</w:t>
            </w:r>
          </w:p>
        </w:tc>
        <w:tc>
          <w:tcPr>
            <w:tcW w:w="9093" w:type="dxa"/>
            <w:gridSpan w:val="2"/>
            <w:tcBorders>
              <w:top w:val="nil"/>
            </w:tcBorders>
          </w:tcPr>
          <w:p>
            <w:pPr>
              <w:pStyle w:val="Normal"/>
              <w:widowControl w:val="false"/>
              <w:suppressAutoHyphens w:val="true"/>
              <w:spacing w:lineRule="auto" w:line="240" w:before="0" w:after="0"/>
              <w:jc w:val="both"/>
              <w:rPr>
                <w:highlight w:val="none"/>
                <w:shd w:fill="auto" w:val="clear"/>
              </w:rPr>
            </w:pPr>
            <w:r>
              <w:rPr>
                <w:rFonts w:eastAsia="Calibri" w:cs="Times New Roman" w:ascii="Times New Roman" w:hAnsi="Times New Roman"/>
                <w:kern w:val="0"/>
                <w:sz w:val="24"/>
                <w:szCs w:val="24"/>
                <w:shd w:fill="auto" w:val="clear"/>
                <w:lang w:val="ru-RU" w:bidi="ar-SA"/>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r>
      <w:tr>
        <w:trPr/>
        <w:tc>
          <w:tcPr>
            <w:tcW w:w="881"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ascii="Times New Roman" w:hAnsi="Times New Roman"/>
                <w:sz w:val="24"/>
                <w:szCs w:val="24"/>
              </w:rPr>
              <w:t>4.4</w:t>
            </w:r>
          </w:p>
        </w:tc>
        <w:tc>
          <w:tcPr>
            <w:tcW w:w="9093" w:type="dxa"/>
            <w:gridSpan w:val="2"/>
            <w:tcBorders>
              <w:top w:val="nil"/>
            </w:tcBorders>
          </w:tcPr>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xml:space="preserve"> </w:t>
            </w:r>
            <w:r>
              <w:rPr>
                <w:rFonts w:ascii="Times New Roman" w:hAnsi="Times New Roman"/>
                <w:sz w:val="24"/>
                <w:szCs w:val="24"/>
                <w:shd w:fill="auto" w:val="clear"/>
              </w:rPr>
              <w:t>Приемка товара по количеству и качеству производится Заказчиком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15.06.1965г. № П-6 и от 25.04.1966г. № П-7.</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Передача Товара Заказчика оформляется следующим комплектом документов: товарная (товарно-транспортная) накладная (унифицированная форма № ТОРГ-12), оформленная в 2-х экземплярах с печатью Поставщика, счет (счет-фактура), акт приема-передачи и прочие документы, необходимые при использовании его по назначению.</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Во всех случаях при приемке товара должен присутствовать представитель Поставщика, с доверенностью с правом передачи товара и правом подписи актов приемки-передачи товара. Заказчик вправе потребовать от представителя Поставщика подписать акт приемки-передачи товара.</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Приемка товара по качеству, количеству и ассортименту производится в точном соответствии с характеристиками товара указанных в спецификации контракта, а также по сопроводительным документам, удостоверяющим качество и ассортимент  поставляемого товара.</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При обнаружении несоответствия товара с описанием в спецификации к контракту, качества, количества, ассортимента, маркировки поступившего товара, требованиям стандартов, технических условий, контракту либо данным, указанным в маркировке и сопроводительных документах, удостоверяющих качество товара, Заказчик составляет акт с участием представителя Поставщика и не принимает данный товар.</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Отсутствие сопроводительных документов или некоторых из них дает право Заказчику не принимать товар. В этом случае составляется акт о качестве, количестве и комплектности поступившего товара и в акте указывается, какие документы отсутствуют.</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Если при приемке не присутствует представитель Поставщика с правом (доверенностью) передачи товара и подписи актов приемки-передачи товара Заказчик вправе вернуть товар с оформлением товарной накладной и акта-приемки передачи товара с отметкой о возврате.</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В случае если у Заказчика возникают претензии по качеству поставляемого товара (обнаружение недостатков, дефектов), ему предоставляется право заявить о них в течение гарантийного срока на товар (при наличии).</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Поставка считается осуществленной, а обязательства Поставщика по поставке Товара исполненными, с даты подписания акта приема-передачи Товара.</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Право собственности на товар переходит от Поставщика к Заказчику с момента передачи товара и подписания акта приемки-передачи товара при наличии документов, предусмотренных для передачи при поставке товара. С этого момента на заказчика переходят все риски случайного повреждения и случайной гибели товара.</w:t>
            </w:r>
          </w:p>
        </w:tc>
      </w:tr>
      <w:tr>
        <w:trPr/>
        <w:tc>
          <w:tcPr>
            <w:tcW w:w="881" w:type="dxa"/>
            <w:tcBorders>
              <w:top w:val="nil"/>
            </w:tcBorders>
            <w:vAlign w:val="center"/>
          </w:tcPr>
          <w:p>
            <w:pPr>
              <w:pStyle w:val="ListParagraph"/>
              <w:widowControl w:val="false"/>
              <w:suppressAutoHyphens w:val="true"/>
              <w:spacing w:lineRule="auto" w:line="240" w:before="0" w:after="0"/>
              <w:ind w:left="0" w:hanging="0"/>
              <w:contextualSpacing/>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5.</w:t>
            </w:r>
          </w:p>
        </w:tc>
        <w:tc>
          <w:tcPr>
            <w:tcW w:w="9093" w:type="dxa"/>
            <w:gridSpan w:val="2"/>
            <w:tcBorders>
              <w:top w:val="nil"/>
            </w:tcBorders>
          </w:tcPr>
          <w:p>
            <w:pPr>
              <w:pStyle w:val="Normal"/>
              <w:widowControl w:val="false"/>
              <w:suppressAutoHyphens w:val="true"/>
              <w:spacing w:lineRule="auto" w:line="240" w:before="0" w:after="0"/>
              <w:jc w:val="left"/>
              <w:rPr>
                <w:highlight w:val="none"/>
                <w:shd w:fill="auto" w:val="clear"/>
              </w:rPr>
            </w:pPr>
            <w:r>
              <w:rPr>
                <w:rFonts w:eastAsia="Calibri" w:cs="Times New Roman" w:ascii="Times New Roman" w:hAnsi="Times New Roman"/>
                <w:b/>
                <w:bCs/>
                <w:kern w:val="0"/>
                <w:sz w:val="24"/>
                <w:szCs w:val="24"/>
                <w:shd w:fill="auto" w:val="clear"/>
                <w:lang w:val="ru-RU" w:bidi="ar-SA"/>
              </w:rPr>
              <w:t>Прочие (дополнительные) требования к продукции</w:t>
            </w:r>
          </w:p>
        </w:tc>
      </w:tr>
      <w:tr>
        <w:trPr/>
        <w:tc>
          <w:tcPr>
            <w:tcW w:w="881"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5.1</w:t>
            </w:r>
          </w:p>
        </w:tc>
        <w:tc>
          <w:tcPr>
            <w:tcW w:w="9093" w:type="dxa"/>
            <w:gridSpan w:val="2"/>
            <w:tcBorders>
              <w:top w:val="nil"/>
            </w:tcBorders>
          </w:tcPr>
          <w:p>
            <w:pPr>
              <w:pStyle w:val="Normal"/>
              <w:widowControl w:val="false"/>
              <w:suppressAutoHyphens w:val="true"/>
              <w:spacing w:lineRule="auto" w:line="240" w:before="0" w:after="0"/>
              <w:jc w:val="both"/>
              <w:rPr>
                <w:highlight w:val="none"/>
                <w:shd w:fill="auto" w:val="clear"/>
              </w:rPr>
            </w:pPr>
            <w:r>
              <w:rPr>
                <w:rFonts w:eastAsia="Calibri" w:cs="Times New Roman" w:ascii="Times New Roman" w:hAnsi="Times New Roman"/>
                <w:kern w:val="0"/>
                <w:sz w:val="24"/>
                <w:szCs w:val="24"/>
                <w:shd w:fill="auto" w:val="clear"/>
                <w:lang w:val="ru-RU" w:bidi="ar-SA"/>
              </w:rPr>
              <w:t xml:space="preserve">Продукция должна соответствовать требованиям: Технического регламента Таможенного союза «О безопасности машин и оборудования» ТР ТС 010/2011. Продукция может быть как новой так и бывшей в употреблении, в приемлемом для эксплуатации состоянии. </w:t>
            </w:r>
          </w:p>
          <w:p>
            <w:pPr>
              <w:pStyle w:val="Normal"/>
              <w:widowControl w:val="false"/>
              <w:suppressAutoHyphens w:val="true"/>
              <w:spacing w:lineRule="auto" w:line="240" w:before="0" w:after="0"/>
              <w:jc w:val="both"/>
              <w:rPr>
                <w:highlight w:val="none"/>
                <w:shd w:fill="auto" w:val="clear"/>
              </w:rPr>
            </w:pPr>
            <w:r>
              <w:rPr>
                <w:rFonts w:eastAsia="Calibri" w:cs="Times New Roman" w:ascii="Times New Roman" w:hAnsi="Times New Roman"/>
                <w:kern w:val="0"/>
                <w:sz w:val="24"/>
                <w:szCs w:val="24"/>
                <w:shd w:fill="auto" w:val="clear"/>
                <w:lang w:val="ru-RU" w:bidi="ar-SA"/>
              </w:rPr>
              <w:t xml:space="preserve"> </w:t>
            </w:r>
            <w:r>
              <w:rPr>
                <w:rFonts w:eastAsia="Calibri" w:cs="Times New Roman" w:ascii="Times New Roman" w:hAnsi="Times New Roman"/>
                <w:kern w:val="0"/>
                <w:sz w:val="24"/>
                <w:szCs w:val="24"/>
                <w:shd w:fill="auto" w:val="clear"/>
                <w:lang w:val="ru-RU" w:bidi="ar-SA"/>
              </w:rPr>
              <w:t>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 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r>
      <w:tr>
        <w:trPr/>
        <w:tc>
          <w:tcPr>
            <w:tcW w:w="881"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ascii="Times New Roman" w:hAnsi="Times New Roman"/>
                <w:sz w:val="24"/>
                <w:szCs w:val="24"/>
              </w:rPr>
              <w:t>5.2</w:t>
            </w:r>
          </w:p>
        </w:tc>
        <w:tc>
          <w:tcPr>
            <w:tcW w:w="9093" w:type="dxa"/>
            <w:gridSpan w:val="2"/>
            <w:tcBorders>
              <w:top w:val="nil"/>
            </w:tcBorders>
          </w:tcPr>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Отсутствие повреждений контейнера указанных в приложении №1 к ТТ</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Внешний вид отсутствие дыр повреждений, маслянных пятен, очагов коррозии;</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Поставляемый Товар должен быть выпущенным не ранее 2010 года;</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Контейнер должен иметь четко читаемые идентификационные номера;</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Контейнер поставляется технически исправным, геометрия не нарушена; герметичный, полы ровные, двери исправно функционируют, уплотнительные   резинки на месте;</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Целостность сварных швов;</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Дверь торцевая с исправным механизмом закрывания;</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Поверхность контейнера подвергнута антикоррозийной обработке;</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Пол укреплен стальными балками с настланным на них фанерным настилом;</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В торце должны иметься две двери распашного типа, открывающиеся наружу;</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Поворотные механизмы должны быть кованными и оцинкованными (иметь антикоррозийную обработку);</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Контейнер должен комплектоваться замками;</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Контейнер не должен иметь вмятин в корпусе, повреждений, деформаций или иных дефектов, связанных с конструкцией или материалами из которых он изготовлен;</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Дверные створки и запирающие устройства (замки) должны функционировать должным образом, т. е. без заеданий и заклиниваний</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Товар при обычных условиях его использования, хранения, транспортировки и утилизации должен быть безопасен для жизни, здоровья потребителя, окружающей среды, а также не причинять вред имуществу Заказчика.</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Качество поставляемого товара должно соответствовать требованиям, установленным контрактом, действующим законодательством Российской Федерации, санитарным нормам и правилам, а также иным требованиям качества, безопасности жизни и здоровья, устанавливающими требования к качеству товаров данной категории, в том числе:</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Федеральный Закон Российской Федерации 30.03.1999 № 52-ФЗ «О санитарно-эпидемиологическом благополучии населения»;</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Постановление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Федеральный закон Российской Федерации от 22 июля 2008 г. № 123-ФЗ «Технический регламент о требованиях пожарной безопасности».</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Поставляемый товар должен соответствовать техническим характеристикам, предъявляемым к товарам данной категории. Одновременно с передачей товара Поставщик передает Заказчику принадлежности к товару, а также относящиеся к нему документы на русском языке.</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Качественные характеристики поставляемого товара должны соответствовать показателям оригинального товара предприятия-изготовителя.</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Поставляемый товар должен иметь сертификаты соответствия требованиям системы сертификации ГОСТ Р,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r>
    </w:tbl>
    <w:p>
      <w:pPr>
        <w:pStyle w:val="Normal"/>
        <w:widowControl/>
        <w:suppressAutoHyphens w:val="true"/>
        <w:bidi w:val="0"/>
        <w:spacing w:lineRule="auto" w:line="276" w:before="0" w:after="200"/>
        <w:jc w:val="left"/>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76" w:before="0" w:after="200"/>
        <w:jc w:val="left"/>
        <w:rPr>
          <w:rFonts w:ascii="Times New Roman" w:hAnsi="Times New Roman"/>
          <w:sz w:val="24"/>
          <w:szCs w:val="24"/>
        </w:rPr>
      </w:pPr>
      <w:r>
        <w:rPr>
          <w:rFonts w:ascii="Times New Roman" w:hAnsi="Times New Roman"/>
          <w:sz w:val="24"/>
          <w:szCs w:val="24"/>
        </w:rPr>
        <w:t>Приложение № 1 к ТТ</w:t>
      </w:r>
    </w:p>
    <w:p>
      <w:pPr>
        <w:pStyle w:val="BodyText"/>
        <w:jc w:val="center"/>
        <w:rPr>
          <w:rFonts w:ascii="Times New Roman" w:hAnsi="Times New Roman"/>
          <w:sz w:val="24"/>
          <w:szCs w:val="24"/>
        </w:rPr>
      </w:pPr>
      <w:bookmarkStart w:id="8" w:name="P01A2"/>
      <w:bookmarkStart w:id="9" w:name="startSelection"/>
      <w:bookmarkEnd w:id="8"/>
      <w:bookmarkEnd w:id="9"/>
      <w:r>
        <w:rPr>
          <w:rFonts w:ascii="Times New Roman" w:hAnsi="Times New Roman"/>
          <w:sz w:val="24"/>
          <w:szCs w:val="24"/>
        </w:rPr>
        <w:t>ПЕРЕЧЕНЬ повреждений</w:t>
      </w:r>
      <w:bookmarkStart w:id="10" w:name="P01A3"/>
      <w:bookmarkEnd w:id="10"/>
    </w:p>
    <w:tbl>
      <w:tblPr>
        <w:tblW w:w="9921" w:type="dxa"/>
        <w:jc w:val="left"/>
        <w:tblInd w:w="-5" w:type="dxa"/>
        <w:tblLayout w:type="fixed"/>
        <w:tblCellMar>
          <w:top w:w="55" w:type="dxa"/>
          <w:left w:w="55" w:type="dxa"/>
          <w:bottom w:w="55" w:type="dxa"/>
          <w:right w:w="55" w:type="dxa"/>
        </w:tblCellMar>
      </w:tblPr>
      <w:tblGrid>
        <w:gridCol w:w="2940"/>
        <w:gridCol w:w="6980"/>
      </w:tblGrid>
      <w:tr>
        <w:trPr/>
        <w:tc>
          <w:tcPr>
            <w:tcW w:w="2940" w:type="dxa"/>
            <w:tcBorders>
              <w:top w:val="single" w:sz="4" w:space="0" w:color="000000"/>
              <w:left w:val="single" w:sz="4" w:space="0" w:color="000000"/>
              <w:bottom w:val="single" w:sz="4" w:space="0" w:color="000000"/>
            </w:tcBorders>
          </w:tcPr>
          <w:p>
            <w:pPr>
              <w:pStyle w:val="Style23"/>
              <w:widowControl w:val="false"/>
              <w:spacing w:before="0" w:after="200"/>
              <w:jc w:val="center"/>
              <w:rPr>
                <w:rFonts w:ascii="Times New Roman" w:hAnsi="Times New Roman"/>
                <w:sz w:val="24"/>
                <w:szCs w:val="24"/>
              </w:rPr>
            </w:pPr>
            <w:bookmarkStart w:id="11" w:name="P01A40000"/>
            <w:bookmarkEnd w:id="11"/>
            <w:r>
              <w:rPr>
                <w:rFonts w:ascii="Times New Roman" w:hAnsi="Times New Roman"/>
                <w:sz w:val="24"/>
                <w:szCs w:val="24"/>
              </w:rPr>
              <w:t xml:space="preserve">Элемент контейнера </w:t>
            </w:r>
          </w:p>
        </w:tc>
        <w:tc>
          <w:tcPr>
            <w:tcW w:w="6980"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200"/>
              <w:jc w:val="center"/>
              <w:rPr>
                <w:rFonts w:ascii="Times New Roman" w:hAnsi="Times New Roman"/>
                <w:sz w:val="24"/>
                <w:szCs w:val="24"/>
              </w:rPr>
            </w:pPr>
            <w:bookmarkStart w:id="12" w:name="P01A40001"/>
            <w:bookmarkEnd w:id="12"/>
            <w:r>
              <w:rPr>
                <w:rFonts w:ascii="Times New Roman" w:hAnsi="Times New Roman"/>
                <w:sz w:val="24"/>
                <w:szCs w:val="24"/>
              </w:rPr>
              <w:t xml:space="preserve">Вид и величина повреждения </w:t>
            </w:r>
          </w:p>
        </w:tc>
      </w:tr>
      <w:tr>
        <w:trPr/>
        <w:tc>
          <w:tcPr>
            <w:tcW w:w="2940" w:type="dxa"/>
            <w:vMerge w:val="restart"/>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13" w:name="P01A40003"/>
            <w:bookmarkEnd w:id="13"/>
            <w:r>
              <w:rPr>
                <w:rFonts w:ascii="Times New Roman" w:hAnsi="Times New Roman"/>
                <w:sz w:val="24"/>
                <w:szCs w:val="24"/>
              </w:rPr>
              <w:t>1. Угловая стойка</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4" w:name="P01A40004"/>
            <w:bookmarkEnd w:id="14"/>
            <w:r>
              <w:rPr>
                <w:rFonts w:ascii="Times New Roman" w:hAnsi="Times New Roman"/>
                <w:sz w:val="24"/>
                <w:szCs w:val="24"/>
              </w:rPr>
              <w:t>Изогнутость угла со стрелкой прогиба 13 мм и более</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15" w:name="P01A40006"/>
            <w:bookmarkStart w:id="16" w:name="P01A40006"/>
            <w:bookmarkEnd w:id="16"/>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7" w:name="P01A40007"/>
            <w:bookmarkEnd w:id="17"/>
            <w:r>
              <w:rPr>
                <w:rFonts w:ascii="Times New Roman" w:hAnsi="Times New Roman"/>
                <w:sz w:val="24"/>
                <w:szCs w:val="24"/>
              </w:rPr>
              <w:t>Изогнутость со стрелкой прогиба 13 мм и более и длиной 203 мм и более</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18" w:name="P01A40009"/>
            <w:bookmarkStart w:id="19" w:name="P01A40009"/>
            <w:bookmarkEnd w:id="19"/>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20" w:name="P01A4000A"/>
            <w:bookmarkEnd w:id="20"/>
            <w:r>
              <w:rPr>
                <w:rFonts w:ascii="Times New Roman" w:hAnsi="Times New Roman"/>
                <w:sz w:val="24"/>
                <w:szCs w:val="24"/>
              </w:rPr>
              <w:t>Трещина</w:t>
            </w:r>
          </w:p>
        </w:tc>
      </w:tr>
      <w:tr>
        <w:trPr/>
        <w:tc>
          <w:tcPr>
            <w:tcW w:w="2940" w:type="dxa"/>
            <w:vMerge w:val="restart"/>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21" w:name="P01A4000C"/>
            <w:bookmarkEnd w:id="21"/>
            <w:r>
              <w:rPr>
                <w:rFonts w:ascii="Times New Roman" w:hAnsi="Times New Roman"/>
                <w:sz w:val="24"/>
                <w:szCs w:val="24"/>
              </w:rPr>
              <w:t xml:space="preserve">2. Нижняя и верхняя поперечные (торцевые) балки. </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22" w:name="P01A4000D"/>
            <w:bookmarkEnd w:id="22"/>
            <w:r>
              <w:rPr>
                <w:rFonts w:ascii="Times New Roman" w:hAnsi="Times New Roman"/>
                <w:sz w:val="24"/>
                <w:szCs w:val="24"/>
              </w:rPr>
              <w:t xml:space="preserve">Изогнутость со стрелкой прогиба 13 мм и более и длиной 203 мм и более </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23" w:name="P01A4000F"/>
            <w:bookmarkStart w:id="24" w:name="P01A4000F"/>
            <w:bookmarkEnd w:id="24"/>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25" w:name="P01A40010"/>
            <w:bookmarkEnd w:id="25"/>
            <w:r>
              <w:rPr>
                <w:rFonts w:ascii="Times New Roman" w:hAnsi="Times New Roman"/>
                <w:sz w:val="24"/>
                <w:szCs w:val="24"/>
              </w:rPr>
              <w:t>Трещина.</w:t>
            </w:r>
          </w:p>
        </w:tc>
      </w:tr>
      <w:tr>
        <w:trPr/>
        <w:tc>
          <w:tcPr>
            <w:tcW w:w="2940" w:type="dxa"/>
            <w:vMerge w:val="restart"/>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26" w:name="P01A40012"/>
            <w:bookmarkEnd w:id="26"/>
            <w:r>
              <w:rPr>
                <w:rFonts w:ascii="Times New Roman" w:hAnsi="Times New Roman"/>
                <w:sz w:val="24"/>
                <w:szCs w:val="24"/>
              </w:rPr>
              <w:t>3. Нижняя и верхняя продольные балки</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27" w:name="P01A40013"/>
            <w:bookmarkEnd w:id="27"/>
            <w:r>
              <w:rPr>
                <w:rFonts w:ascii="Times New Roman" w:hAnsi="Times New Roman"/>
                <w:sz w:val="24"/>
                <w:szCs w:val="24"/>
              </w:rPr>
              <w:t xml:space="preserve">Изогнутость со стрелкой прогиба 13 мм и более и длиной 203 мм и более </w:t>
            </w:r>
          </w:p>
        </w:tc>
      </w:tr>
      <w:tr>
        <w:trPr>
          <w:trHeight w:val="446" w:hRule="atLeast"/>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28" w:name="P01A40015"/>
            <w:bookmarkStart w:id="29" w:name="P01A40015"/>
            <w:bookmarkEnd w:id="29"/>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30" w:name="P01A40016"/>
            <w:bookmarkEnd w:id="30"/>
            <w:r>
              <w:rPr>
                <w:rFonts w:ascii="Times New Roman" w:hAnsi="Times New Roman"/>
                <w:sz w:val="24"/>
                <w:szCs w:val="24"/>
              </w:rPr>
              <w:t>Трещина</w:t>
            </w:r>
          </w:p>
        </w:tc>
      </w:tr>
      <w:tr>
        <w:trPr>
          <w:trHeight w:val="450" w:hRule="atLeast"/>
        </w:trPr>
        <w:tc>
          <w:tcPr>
            <w:tcW w:w="2940" w:type="dxa"/>
            <w:vMerge w:val="restart"/>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31" w:name="P01A40018"/>
            <w:bookmarkEnd w:id="31"/>
            <w:r>
              <w:rPr>
                <w:rFonts w:ascii="Times New Roman" w:hAnsi="Times New Roman"/>
                <w:sz w:val="24"/>
                <w:szCs w:val="24"/>
              </w:rPr>
              <w:t>4. Угловой фитинг</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32" w:name="P01A40019"/>
            <w:bookmarkEnd w:id="32"/>
            <w:r>
              <w:rPr>
                <w:rFonts w:ascii="Times New Roman" w:hAnsi="Times New Roman"/>
                <w:sz w:val="24"/>
                <w:szCs w:val="24"/>
              </w:rPr>
              <w:t xml:space="preserve">Трещина </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33" w:name="P01A4001B"/>
            <w:bookmarkStart w:id="34" w:name="P01A4001B"/>
            <w:bookmarkEnd w:id="34"/>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35" w:name="P01A4001C"/>
            <w:bookmarkEnd w:id="35"/>
            <w:r>
              <w:rPr>
                <w:rFonts w:ascii="Times New Roman" w:hAnsi="Times New Roman"/>
                <w:sz w:val="24"/>
                <w:szCs w:val="24"/>
              </w:rPr>
              <w:t>Трещина сварного шва между угловым фитингом и угловой стойкой, поперечной или продольной балкой, обшивкой контейнера</w:t>
            </w:r>
          </w:p>
        </w:tc>
      </w:tr>
      <w:tr>
        <w:trPr/>
        <w:tc>
          <w:tcPr>
            <w:tcW w:w="2940" w:type="dxa"/>
            <w:vMerge w:val="restart"/>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36" w:name="P01A4001E"/>
            <w:bookmarkEnd w:id="36"/>
            <w:r>
              <w:rPr>
                <w:rFonts w:ascii="Times New Roman" w:hAnsi="Times New Roman"/>
                <w:sz w:val="24"/>
                <w:szCs w:val="24"/>
              </w:rPr>
              <w:t xml:space="preserve">5. Двери </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37" w:name="P01A4001F"/>
            <w:bookmarkEnd w:id="37"/>
            <w:r>
              <w:rPr>
                <w:rFonts w:ascii="Times New Roman" w:hAnsi="Times New Roman"/>
                <w:sz w:val="24"/>
                <w:szCs w:val="24"/>
              </w:rPr>
              <w:t>Вмятина, выпучина со стрелкой прогиба 13 мм и более</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38" w:name="P01A40021"/>
            <w:bookmarkStart w:id="39" w:name="P01A40021"/>
            <w:bookmarkEnd w:id="39"/>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40" w:name="P01A40022"/>
            <w:bookmarkEnd w:id="40"/>
            <w:r>
              <w:rPr>
                <w:rFonts w:ascii="Times New Roman" w:hAnsi="Times New Roman"/>
                <w:sz w:val="24"/>
                <w:szCs w:val="24"/>
              </w:rPr>
              <w:t>Пробоина, прорез, трещина</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41" w:name="P01A40024"/>
            <w:bookmarkStart w:id="42" w:name="P01A40024"/>
            <w:bookmarkEnd w:id="42"/>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43" w:name="P01A40025"/>
            <w:bookmarkEnd w:id="43"/>
            <w:r>
              <w:rPr>
                <w:rFonts w:ascii="Times New Roman" w:hAnsi="Times New Roman"/>
                <w:sz w:val="24"/>
                <w:szCs w:val="24"/>
              </w:rPr>
              <w:t>Неплотное прилегание створок дверей друг к другу и к дверному проему</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44" w:name="P01A40027"/>
            <w:bookmarkStart w:id="45" w:name="P01A40027"/>
            <w:bookmarkEnd w:id="45"/>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46" w:name="P01A40028"/>
            <w:bookmarkEnd w:id="46"/>
            <w:r>
              <w:rPr>
                <w:rFonts w:ascii="Times New Roman" w:hAnsi="Times New Roman"/>
                <w:sz w:val="24"/>
                <w:szCs w:val="24"/>
              </w:rPr>
              <w:t>Прорыв уплотнения дверей</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47" w:name="P01A4002A"/>
            <w:bookmarkStart w:id="48" w:name="P01A4002A"/>
            <w:bookmarkEnd w:id="48"/>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49" w:name="P01A4002B"/>
            <w:bookmarkEnd w:id="49"/>
            <w:r>
              <w:rPr>
                <w:rFonts w:ascii="Times New Roman" w:hAnsi="Times New Roman"/>
                <w:sz w:val="24"/>
                <w:szCs w:val="24"/>
              </w:rPr>
              <w:t>Повреждение крепления уплотнения к дверям</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50" w:name="P01A4002D"/>
            <w:bookmarkStart w:id="51" w:name="P01A4002D"/>
            <w:bookmarkEnd w:id="51"/>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52" w:name="P01A4002E"/>
            <w:bookmarkEnd w:id="52"/>
            <w:r>
              <w:rPr>
                <w:rFonts w:ascii="Times New Roman" w:hAnsi="Times New Roman"/>
                <w:sz w:val="24"/>
                <w:szCs w:val="24"/>
              </w:rPr>
              <w:t>Повреждение дверного запора</w:t>
            </w:r>
          </w:p>
        </w:tc>
      </w:tr>
      <w:tr>
        <w:trPr/>
        <w:tc>
          <w:tcPr>
            <w:tcW w:w="2940" w:type="dxa"/>
            <w:vMerge w:val="restart"/>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53" w:name="P01A40030"/>
            <w:bookmarkEnd w:id="53"/>
            <w:r>
              <w:rPr>
                <w:rFonts w:ascii="Times New Roman" w:hAnsi="Times New Roman"/>
                <w:sz w:val="24"/>
                <w:szCs w:val="24"/>
              </w:rPr>
              <w:t xml:space="preserve">6.Поперечная (промежуточная) балка основания </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54" w:name="P01A40031"/>
            <w:bookmarkEnd w:id="54"/>
            <w:r>
              <w:rPr>
                <w:rFonts w:ascii="Times New Roman" w:hAnsi="Times New Roman"/>
                <w:sz w:val="24"/>
                <w:szCs w:val="24"/>
              </w:rPr>
              <w:t xml:space="preserve">Отрыв от продольной балки </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55" w:name="P01A40033"/>
            <w:bookmarkStart w:id="56" w:name="P01A40033"/>
            <w:bookmarkEnd w:id="56"/>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57" w:name="P01A40034"/>
            <w:bookmarkEnd w:id="57"/>
            <w:r>
              <w:rPr>
                <w:rFonts w:ascii="Times New Roman" w:hAnsi="Times New Roman"/>
                <w:sz w:val="24"/>
                <w:szCs w:val="24"/>
              </w:rPr>
              <w:t>Изогнутость со стрелкой прогиба 19 мм и более</w:t>
            </w:r>
          </w:p>
        </w:tc>
      </w:tr>
      <w:tr>
        <w:trPr/>
        <w:tc>
          <w:tcPr>
            <w:tcW w:w="2940" w:type="dxa"/>
            <w:vMerge w:val="restart"/>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58" w:name="P01A40036"/>
            <w:bookmarkEnd w:id="58"/>
            <w:r>
              <w:rPr>
                <w:rFonts w:ascii="Times New Roman" w:hAnsi="Times New Roman"/>
                <w:sz w:val="24"/>
                <w:szCs w:val="24"/>
              </w:rPr>
              <w:t xml:space="preserve">7. Вилочные проемы </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59" w:name="P01A40037"/>
            <w:bookmarkEnd w:id="59"/>
            <w:r>
              <w:rPr>
                <w:rFonts w:ascii="Times New Roman" w:hAnsi="Times New Roman"/>
                <w:sz w:val="24"/>
                <w:szCs w:val="24"/>
              </w:rPr>
              <w:t>Изогнутость 19 мм и более на любой стенке балки, образующей проем, препятствующая вводу вил погрузчика</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60" w:name="P01A40039"/>
            <w:bookmarkStart w:id="61" w:name="P01A40039"/>
            <w:bookmarkEnd w:id="61"/>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62" w:name="P01A4003A"/>
            <w:bookmarkEnd w:id="62"/>
            <w:r>
              <w:rPr>
                <w:rFonts w:ascii="Times New Roman" w:hAnsi="Times New Roman"/>
                <w:sz w:val="24"/>
                <w:szCs w:val="24"/>
              </w:rPr>
              <w:t>Разрыв элементов, образующих вилочные проемы</w:t>
            </w:r>
          </w:p>
        </w:tc>
      </w:tr>
      <w:tr>
        <w:trPr/>
        <w:tc>
          <w:tcPr>
            <w:tcW w:w="2940" w:type="dxa"/>
            <w:vMerge w:val="restart"/>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63" w:name="P01A4003C"/>
            <w:bookmarkEnd w:id="63"/>
            <w:r>
              <w:rPr>
                <w:rFonts w:ascii="Times New Roman" w:hAnsi="Times New Roman"/>
                <w:sz w:val="24"/>
                <w:szCs w:val="24"/>
              </w:rPr>
              <w:t xml:space="preserve">8. Пол </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64" w:name="P01A4003D"/>
            <w:bookmarkEnd w:id="64"/>
            <w:r>
              <w:rPr>
                <w:rFonts w:ascii="Times New Roman" w:hAnsi="Times New Roman"/>
                <w:sz w:val="24"/>
                <w:szCs w:val="24"/>
              </w:rPr>
              <w:t>Пролом или сквозная трещина в настиле</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65" w:name="P01A4003F"/>
            <w:bookmarkStart w:id="66" w:name="P01A4003F"/>
            <w:bookmarkEnd w:id="66"/>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67" w:name="P01A40040"/>
            <w:bookmarkEnd w:id="67"/>
            <w:r>
              <w:rPr>
                <w:rFonts w:ascii="Times New Roman" w:hAnsi="Times New Roman"/>
                <w:sz w:val="24"/>
                <w:szCs w:val="24"/>
              </w:rPr>
              <w:t>Повреждение крепления настила к поперечным балкам основания</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68" w:name="P01A40042"/>
            <w:bookmarkStart w:id="69" w:name="P01A40042"/>
            <w:bookmarkEnd w:id="69"/>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70" w:name="P01A40043"/>
            <w:bookmarkEnd w:id="70"/>
            <w:r>
              <w:rPr>
                <w:rFonts w:ascii="Times New Roman" w:hAnsi="Times New Roman"/>
                <w:sz w:val="24"/>
                <w:szCs w:val="24"/>
              </w:rPr>
              <w:t>Коробление или набухание настила от действия влаги</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71" w:name="P01A40045"/>
            <w:bookmarkStart w:id="72" w:name="P01A40045"/>
            <w:bookmarkEnd w:id="72"/>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73" w:name="P01A40046"/>
            <w:bookmarkEnd w:id="73"/>
            <w:r>
              <w:rPr>
                <w:rFonts w:ascii="Times New Roman" w:hAnsi="Times New Roman"/>
                <w:sz w:val="24"/>
                <w:szCs w:val="24"/>
              </w:rPr>
              <w:t>Пол испачкан нефтепродуктами</w:t>
            </w:r>
          </w:p>
        </w:tc>
      </w:tr>
      <w:tr>
        <w:trPr/>
        <w:tc>
          <w:tcPr>
            <w:tcW w:w="2940" w:type="dxa"/>
            <w:vMerge w:val="restart"/>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74" w:name="P01A40048"/>
            <w:bookmarkEnd w:id="74"/>
            <w:r>
              <w:rPr>
                <w:rFonts w:ascii="Times New Roman" w:hAnsi="Times New Roman"/>
                <w:sz w:val="24"/>
                <w:szCs w:val="24"/>
              </w:rPr>
              <w:t xml:space="preserve">9. Крыша, обшивка торцовой и боковых стенок </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75" w:name="P01A40049"/>
            <w:bookmarkEnd w:id="75"/>
            <w:r>
              <w:rPr>
                <w:rFonts w:ascii="Times New Roman" w:hAnsi="Times New Roman"/>
                <w:sz w:val="24"/>
                <w:szCs w:val="24"/>
              </w:rPr>
              <w:t>Изогнутость гофрированной стенки со стрелкой прогиба 19 мм и более</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76" w:name="P01A4004B"/>
            <w:bookmarkStart w:id="77" w:name="P01A4004B"/>
            <w:bookmarkEnd w:id="77"/>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78" w:name="P01A4004C"/>
            <w:bookmarkEnd w:id="78"/>
            <w:r>
              <w:rPr>
                <w:rFonts w:ascii="Times New Roman" w:hAnsi="Times New Roman"/>
                <w:sz w:val="24"/>
                <w:szCs w:val="24"/>
              </w:rPr>
              <w:t>Изогнутость гофрированной стенки со стрелкой прогиба до 19 мм при расположении вмятин на одной прямой линии</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79" w:name="P01A4004E"/>
            <w:bookmarkStart w:id="80" w:name="P01A4004E"/>
            <w:bookmarkEnd w:id="80"/>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81" w:name="P01A4004F"/>
            <w:bookmarkEnd w:id="81"/>
            <w:r>
              <w:rPr>
                <w:rFonts w:ascii="Times New Roman" w:hAnsi="Times New Roman"/>
                <w:sz w:val="24"/>
                <w:szCs w:val="24"/>
              </w:rPr>
              <w:t>Изогнутость негофрированной стенки со стрелкой прогиба 13 мм и более</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82" w:name="P01A40051"/>
            <w:bookmarkStart w:id="83" w:name="P01A40051"/>
            <w:bookmarkEnd w:id="83"/>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84" w:name="P01A40052"/>
            <w:bookmarkEnd w:id="84"/>
            <w:r>
              <w:rPr>
                <w:rFonts w:ascii="Times New Roman" w:hAnsi="Times New Roman"/>
                <w:sz w:val="24"/>
                <w:szCs w:val="24"/>
              </w:rPr>
              <w:t>Изогнутость негофрированной стенки со стрелкой прогиба до 13 мм при расположении вмятин на одной прямой линии</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85" w:name="P01A40054"/>
            <w:bookmarkStart w:id="86" w:name="P01A40054"/>
            <w:bookmarkEnd w:id="86"/>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87" w:name="P01A40055"/>
            <w:bookmarkEnd w:id="87"/>
            <w:r>
              <w:rPr>
                <w:rFonts w:ascii="Times New Roman" w:hAnsi="Times New Roman"/>
                <w:sz w:val="24"/>
                <w:szCs w:val="24"/>
              </w:rPr>
              <w:t>Пробоина, прорез, трещина</w:t>
            </w:r>
          </w:p>
        </w:tc>
      </w:tr>
      <w:tr>
        <w:trPr/>
        <w:tc>
          <w:tcPr>
            <w:tcW w:w="2940" w:type="dxa"/>
            <w:vMerge w:val="restart"/>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88" w:name="P01A40057"/>
            <w:bookmarkEnd w:id="88"/>
            <w:r>
              <w:rPr>
                <w:rFonts w:ascii="Times New Roman" w:hAnsi="Times New Roman"/>
                <w:sz w:val="24"/>
                <w:szCs w:val="24"/>
              </w:rPr>
              <w:t xml:space="preserve">10. Контейнер в целом </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89" w:name="P01A40058"/>
            <w:bookmarkEnd w:id="89"/>
            <w:r>
              <w:rPr>
                <w:rFonts w:ascii="Times New Roman" w:hAnsi="Times New Roman"/>
                <w:sz w:val="24"/>
                <w:szCs w:val="24"/>
              </w:rPr>
              <w:t>Разность расстояний между центрами отверстий диагонально расположенных угловых фитингов:</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90" w:name="P01A4005A"/>
            <w:bookmarkStart w:id="91" w:name="P01A4005A"/>
            <w:bookmarkEnd w:id="91"/>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92" w:name="P01A4005B"/>
            <w:bookmarkEnd w:id="92"/>
            <w:r>
              <w:rPr>
                <w:rFonts w:ascii="Times New Roman" w:hAnsi="Times New Roman"/>
                <w:sz w:val="24"/>
                <w:szCs w:val="24"/>
              </w:rPr>
              <w:t>замеренная в плоскости крыши и боковой стенки контейнеров типа:</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93" w:name="P01A4005D"/>
            <w:bookmarkStart w:id="94" w:name="P01A4005D"/>
            <w:bookmarkEnd w:id="94"/>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95" w:name="P01A4005E"/>
            <w:bookmarkEnd w:id="95"/>
            <w:r>
              <w:rPr>
                <w:rFonts w:ascii="Times New Roman" w:hAnsi="Times New Roman"/>
                <w:sz w:val="24"/>
                <w:szCs w:val="24"/>
              </w:rPr>
              <w:t>1АА, 1А - 19 мм и более;</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96" w:name="P01A40063"/>
            <w:bookmarkStart w:id="97" w:name="P01A40063"/>
            <w:bookmarkEnd w:id="97"/>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98" w:name="P01A40064"/>
            <w:bookmarkEnd w:id="98"/>
            <w:r>
              <w:rPr>
                <w:rFonts w:ascii="Times New Roman" w:hAnsi="Times New Roman"/>
                <w:sz w:val="24"/>
                <w:szCs w:val="24"/>
              </w:rPr>
              <w:t>1СС, 1С - 13 мм и более</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99" w:name="P01A40066"/>
            <w:bookmarkStart w:id="100" w:name="P01A40066"/>
            <w:bookmarkEnd w:id="100"/>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01" w:name="P01A40067"/>
            <w:bookmarkEnd w:id="101"/>
            <w:r>
              <w:rPr>
                <w:rFonts w:ascii="Times New Roman" w:hAnsi="Times New Roman"/>
                <w:sz w:val="24"/>
                <w:szCs w:val="24"/>
              </w:rPr>
              <w:t>замеренная в плоскости торцевой стенки - 10 мм и более</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102" w:name="P01A40069"/>
            <w:bookmarkStart w:id="103" w:name="P01A40069"/>
            <w:bookmarkEnd w:id="103"/>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04" w:name="P01A4006A"/>
            <w:bookmarkEnd w:id="104"/>
            <w:r>
              <w:rPr>
                <w:rFonts w:ascii="Times New Roman" w:hAnsi="Times New Roman"/>
                <w:sz w:val="24"/>
                <w:szCs w:val="24"/>
              </w:rPr>
              <w:t>Сквозная коррозия с нарушением водонепроницаемости</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105" w:name="P01A4006C"/>
            <w:bookmarkStart w:id="106" w:name="P01A4006C"/>
            <w:bookmarkEnd w:id="106"/>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07" w:name="P01A4006D"/>
            <w:bookmarkEnd w:id="107"/>
            <w:r>
              <w:rPr>
                <w:rFonts w:ascii="Times New Roman" w:hAnsi="Times New Roman"/>
                <w:sz w:val="24"/>
                <w:szCs w:val="24"/>
              </w:rPr>
              <w:t>Разрывы или трещины сварных соединений</w:t>
            </w:r>
          </w:p>
        </w:tc>
      </w:tr>
      <w:tr>
        <w:trPr/>
        <w:tc>
          <w:tcPr>
            <w:tcW w:w="2940" w:type="dxa"/>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108" w:name="P01A4006F"/>
            <w:bookmarkEnd w:id="108"/>
            <w:r>
              <w:rPr>
                <w:rFonts w:ascii="Times New Roman" w:hAnsi="Times New Roman"/>
                <w:sz w:val="24"/>
                <w:szCs w:val="24"/>
              </w:rPr>
              <w:t xml:space="preserve">11. Нижняя балка дверного проема </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09" w:name="P01A40070"/>
            <w:bookmarkEnd w:id="109"/>
            <w:r>
              <w:rPr>
                <w:rFonts w:ascii="Times New Roman" w:hAnsi="Times New Roman"/>
                <w:sz w:val="24"/>
                <w:szCs w:val="24"/>
              </w:rPr>
              <w:t>Изогнутость со стрелкой прогиба 13 мм и более и длиной 203 мм и более</w:t>
            </w:r>
          </w:p>
        </w:tc>
      </w:tr>
      <w:tr>
        <w:trPr/>
        <w:tc>
          <w:tcPr>
            <w:tcW w:w="2940" w:type="dxa"/>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110" w:name="P01A40072"/>
            <w:bookmarkEnd w:id="110"/>
            <w:r>
              <w:rPr>
                <w:rFonts w:ascii="Times New Roman" w:hAnsi="Times New Roman"/>
                <w:sz w:val="24"/>
                <w:szCs w:val="24"/>
              </w:rPr>
              <w:t xml:space="preserve">12. Дождевой козырек над торцевой дверью </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11" w:name="P01A40073"/>
            <w:bookmarkEnd w:id="111"/>
            <w:r>
              <w:rPr>
                <w:rFonts w:ascii="Times New Roman" w:hAnsi="Times New Roman"/>
                <w:sz w:val="24"/>
                <w:szCs w:val="24"/>
              </w:rPr>
              <w:t>Изогнутость со стрелкой прогиба 13 мм и более и длиной 305 мм и более с нарушением водонепроницаемости</w:t>
            </w:r>
          </w:p>
        </w:tc>
      </w:tr>
      <w:tr>
        <w:trPr/>
        <w:tc>
          <w:tcPr>
            <w:tcW w:w="2940" w:type="dxa"/>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112" w:name="P01A40075"/>
            <w:bookmarkEnd w:id="112"/>
            <w:r>
              <w:rPr>
                <w:rFonts w:ascii="Times New Roman" w:hAnsi="Times New Roman"/>
                <w:sz w:val="24"/>
                <w:szCs w:val="24"/>
              </w:rPr>
              <w:t>13.Вентиляционное устройство</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13" w:name="P01A40076"/>
            <w:bookmarkEnd w:id="113"/>
            <w:r>
              <w:rPr>
                <w:rFonts w:ascii="Times New Roman" w:hAnsi="Times New Roman"/>
                <w:sz w:val="24"/>
                <w:szCs w:val="24"/>
              </w:rPr>
              <w:t xml:space="preserve">Пробоина, прорез вентиляционной решетки </w:t>
            </w:r>
          </w:p>
        </w:tc>
      </w:tr>
      <w:tr>
        <w:trPr/>
        <w:tc>
          <w:tcPr>
            <w:tcW w:w="2940" w:type="dxa"/>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114" w:name="P01A40078"/>
            <w:bookmarkEnd w:id="114"/>
            <w:r>
              <w:rPr>
                <w:rFonts w:ascii="Times New Roman" w:hAnsi="Times New Roman"/>
                <w:sz w:val="24"/>
                <w:szCs w:val="24"/>
              </w:rPr>
              <w:t xml:space="preserve">14. Устройство и приспособления, предназначенные для наложения таможенных печатей и пломб </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15" w:name="P01A40079"/>
            <w:bookmarkEnd w:id="115"/>
            <w:r>
              <w:rPr>
                <w:rFonts w:ascii="Times New Roman" w:hAnsi="Times New Roman"/>
                <w:sz w:val="24"/>
                <w:szCs w:val="24"/>
              </w:rPr>
              <w:t>Повреждения, при которых появляется возможность снятия и постановки на место данных устройств и приспособлений без оставления видимых следов, а также открывания дверей и запирающих устройств без нарушения печатей и пломб</w:t>
            </w:r>
          </w:p>
        </w:tc>
      </w:tr>
      <w:tr>
        <w:trPr/>
        <w:tc>
          <w:tcPr>
            <w:tcW w:w="2940" w:type="dxa"/>
            <w:vMerge w:val="restart"/>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116" w:name="P01A4007B"/>
            <w:bookmarkEnd w:id="116"/>
            <w:r>
              <w:rPr>
                <w:rFonts w:ascii="Times New Roman" w:hAnsi="Times New Roman"/>
                <w:sz w:val="24"/>
                <w:szCs w:val="24"/>
              </w:rPr>
              <w:t xml:space="preserve">15.Элементы для крепления груза </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17" w:name="P01A4007C"/>
            <w:bookmarkEnd w:id="117"/>
            <w:r>
              <w:rPr>
                <w:rFonts w:ascii="Times New Roman" w:hAnsi="Times New Roman"/>
                <w:sz w:val="24"/>
                <w:szCs w:val="24"/>
              </w:rPr>
              <w:t xml:space="preserve">Разрывы </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118" w:name="P01A4007E"/>
            <w:bookmarkStart w:id="119" w:name="P01A4007E"/>
            <w:bookmarkEnd w:id="119"/>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20" w:name="P01A4007F"/>
            <w:bookmarkEnd w:id="120"/>
            <w:r>
              <w:rPr>
                <w:rFonts w:ascii="Times New Roman" w:hAnsi="Times New Roman"/>
                <w:sz w:val="24"/>
                <w:szCs w:val="24"/>
              </w:rPr>
              <w:t>Трещины в сварных швах</w:t>
            </w:r>
          </w:p>
        </w:tc>
      </w:tr>
      <w:tr>
        <w:trPr/>
        <w:tc>
          <w:tcPr>
            <w:tcW w:w="2940" w:type="dxa"/>
            <w:vMerge w:val="restart"/>
            <w:tcBorders>
              <w:left w:val="single" w:sz="4" w:space="0" w:color="000000"/>
              <w:bottom w:val="single" w:sz="4" w:space="0" w:color="000000"/>
            </w:tcBorders>
          </w:tcPr>
          <w:p>
            <w:pPr>
              <w:pStyle w:val="Style23"/>
              <w:widowControl w:val="false"/>
              <w:jc w:val="both"/>
              <w:rPr>
                <w:rFonts w:ascii="Times New Roman" w:hAnsi="Times New Roman"/>
                <w:sz w:val="24"/>
                <w:szCs w:val="24"/>
              </w:rPr>
            </w:pPr>
            <w:bookmarkStart w:id="121" w:name="P01A40081"/>
            <w:bookmarkEnd w:id="121"/>
            <w:r>
              <w:rPr>
                <w:rFonts w:ascii="Times New Roman" w:hAnsi="Times New Roman"/>
                <w:sz w:val="24"/>
                <w:szCs w:val="24"/>
              </w:rPr>
              <w:t xml:space="preserve">16. Табличка безопасности, Таможенная табличка </w:t>
            </w:r>
          </w:p>
          <w:p>
            <w:pPr>
              <w:pStyle w:val="Style23"/>
              <w:widowControl w:val="false"/>
              <w:spacing w:before="0" w:after="200"/>
              <w:jc w:val="both"/>
              <w:rPr>
                <w:rFonts w:ascii="Times New Roman" w:hAnsi="Times New Roman"/>
                <w:sz w:val="24"/>
                <w:szCs w:val="24"/>
              </w:rPr>
            </w:pPr>
            <w:r>
              <w:rPr>
                <w:rFonts w:ascii="Times New Roman" w:hAnsi="Times New Roman"/>
                <w:sz w:val="24"/>
                <w:szCs w:val="24"/>
              </w:rPr>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22" w:name="P01A40082"/>
            <w:bookmarkEnd w:id="122"/>
            <w:r>
              <w:rPr>
                <w:rFonts w:ascii="Times New Roman" w:hAnsi="Times New Roman"/>
                <w:sz w:val="24"/>
                <w:szCs w:val="24"/>
              </w:rPr>
              <w:t xml:space="preserve">Повреждение крепления табличек либо их отсутствие (видны следы крепления) </w:t>
            </w:r>
          </w:p>
        </w:tc>
      </w:tr>
      <w:tr>
        <w:trPr/>
        <w:tc>
          <w:tcPr>
            <w:tcW w:w="2940" w:type="dxa"/>
            <w:vMerge w:val="continue"/>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r>
              <w:rPr>
                <w:rFonts w:ascii="Times New Roman" w:hAnsi="Times New Roman"/>
                <w:sz w:val="24"/>
                <w:szCs w:val="24"/>
              </w:rPr>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23" w:name="P01A40085"/>
            <w:bookmarkEnd w:id="123"/>
            <w:r>
              <w:rPr>
                <w:rFonts w:ascii="Times New Roman" w:hAnsi="Times New Roman"/>
                <w:sz w:val="24"/>
                <w:szCs w:val="24"/>
              </w:rPr>
              <w:t xml:space="preserve">Неразличимы хотя бы частично надписи на табличках </w:t>
            </w:r>
          </w:p>
        </w:tc>
      </w:tr>
      <w:tr>
        <w:trPr/>
        <w:tc>
          <w:tcPr>
            <w:tcW w:w="2940" w:type="dxa"/>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124" w:name="P01A40087"/>
            <w:bookmarkEnd w:id="124"/>
            <w:r>
              <w:rPr>
                <w:rFonts w:ascii="Times New Roman" w:hAnsi="Times New Roman"/>
                <w:sz w:val="24"/>
                <w:szCs w:val="24"/>
              </w:rPr>
              <w:t xml:space="preserve">17. Маркировка </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25" w:name="P01A40088"/>
            <w:bookmarkEnd w:id="125"/>
            <w:r>
              <w:rPr>
                <w:rFonts w:ascii="Times New Roman" w:hAnsi="Times New Roman"/>
                <w:sz w:val="24"/>
                <w:szCs w:val="24"/>
              </w:rPr>
              <w:t>Обязательная маркировка неразличима или закрыта временной маркировкой</w:t>
            </w:r>
          </w:p>
        </w:tc>
      </w:tr>
      <w:tr>
        <w:trPr/>
        <w:tc>
          <w:tcPr>
            <w:tcW w:w="2940" w:type="dxa"/>
            <w:vMerge w:val="restart"/>
            <w:tcBorders>
              <w:left w:val="single" w:sz="4" w:space="0" w:color="000000"/>
              <w:bottom w:val="single" w:sz="4" w:space="0" w:color="000000"/>
            </w:tcBorders>
          </w:tcPr>
          <w:p>
            <w:pPr>
              <w:pStyle w:val="Style23"/>
              <w:widowControl w:val="false"/>
              <w:spacing w:before="0" w:after="200"/>
              <w:jc w:val="both"/>
              <w:rPr>
                <w:rFonts w:ascii="Times New Roman" w:hAnsi="Times New Roman"/>
                <w:sz w:val="24"/>
                <w:szCs w:val="24"/>
              </w:rPr>
            </w:pPr>
            <w:bookmarkStart w:id="126" w:name="P01A4008A"/>
            <w:bookmarkEnd w:id="126"/>
            <w:r>
              <w:rPr>
                <w:rFonts w:ascii="Times New Roman" w:hAnsi="Times New Roman"/>
                <w:sz w:val="24"/>
                <w:szCs w:val="24"/>
              </w:rPr>
              <w:t xml:space="preserve">18. Некачественный ремонт контейнера </w:t>
            </w:r>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27" w:name="P01A4008B"/>
            <w:bookmarkEnd w:id="127"/>
            <w:r>
              <w:rPr>
                <w:rFonts w:ascii="Times New Roman" w:hAnsi="Times New Roman"/>
                <w:sz w:val="24"/>
                <w:szCs w:val="24"/>
              </w:rPr>
              <w:t>Использование при ремонте контейнера материалов, способных вызывать электролитическую коррозию при контакте с материалом контейнера, без принятия защитных мер против коррозии</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128" w:name="P01A4008D"/>
            <w:bookmarkStart w:id="129" w:name="P01A4008D"/>
            <w:bookmarkEnd w:id="129"/>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30" w:name="P01A4008E"/>
            <w:bookmarkEnd w:id="130"/>
            <w:r>
              <w:rPr>
                <w:rFonts w:ascii="Times New Roman" w:hAnsi="Times New Roman"/>
                <w:sz w:val="24"/>
                <w:szCs w:val="24"/>
              </w:rPr>
              <w:t>Использование при ремонте обшивки контейнера гладких листов взамен гофрированных</w:t>
            </w:r>
          </w:p>
        </w:tc>
      </w:tr>
      <w:tr>
        <w:trPr/>
        <w:tc>
          <w:tcPr>
            <w:tcW w:w="2940" w:type="dxa"/>
            <w:vMerge w:val="continue"/>
            <w:tcBorders>
              <w:left w:val="single" w:sz="4" w:space="0" w:color="000000"/>
              <w:bottom w:val="single" w:sz="4" w:space="0" w:color="000000"/>
            </w:tcBorders>
          </w:tcPr>
          <w:p>
            <w:pPr>
              <w:pStyle w:val="Style23"/>
              <w:widowControl w:val="false"/>
              <w:spacing w:before="0" w:after="200"/>
              <w:rPr>
                <w:rFonts w:ascii="Times New Roman" w:hAnsi="Times New Roman"/>
                <w:sz w:val="24"/>
                <w:szCs w:val="24"/>
              </w:rPr>
            </w:pPr>
            <w:r>
              <w:rPr>
                <w:rFonts w:ascii="Times New Roman" w:hAnsi="Times New Roman"/>
                <w:sz w:val="24"/>
                <w:szCs w:val="24"/>
              </w:rPr>
            </w:r>
            <w:bookmarkStart w:id="131" w:name="P01A40090"/>
            <w:bookmarkStart w:id="132" w:name="P01A40090"/>
            <w:bookmarkEnd w:id="132"/>
          </w:p>
        </w:tc>
        <w:tc>
          <w:tcPr>
            <w:tcW w:w="6980" w:type="dxa"/>
            <w:tcBorders>
              <w:left w:val="single" w:sz="4" w:space="0" w:color="000000"/>
              <w:bottom w:val="single" w:sz="4" w:space="0" w:color="000000"/>
              <w:right w:val="single" w:sz="4" w:space="0" w:color="000000"/>
            </w:tcBorders>
          </w:tcPr>
          <w:p>
            <w:pPr>
              <w:pStyle w:val="Style23"/>
              <w:widowControl w:val="false"/>
              <w:spacing w:before="0" w:after="200"/>
              <w:jc w:val="both"/>
              <w:rPr>
                <w:rFonts w:ascii="Times New Roman" w:hAnsi="Times New Roman"/>
                <w:sz w:val="24"/>
                <w:szCs w:val="24"/>
              </w:rPr>
            </w:pPr>
            <w:bookmarkStart w:id="133" w:name="P01A40091"/>
            <w:bookmarkEnd w:id="133"/>
            <w:r>
              <w:rPr>
                <w:rFonts w:ascii="Times New Roman" w:hAnsi="Times New Roman"/>
                <w:sz w:val="24"/>
                <w:szCs w:val="24"/>
              </w:rPr>
              <w:t>Использование при ремонте контейнера материалов и методов ремонта, нарушающих прочность элементов контейнера</w:t>
            </w:r>
          </w:p>
        </w:tc>
      </w:tr>
    </w:tbl>
    <w:p>
      <w:pPr>
        <w:pStyle w:val="Normal"/>
        <w:widowControl/>
        <w:suppressAutoHyphens w:val="true"/>
        <w:bidi w:val="0"/>
        <w:spacing w:lineRule="auto" w:line="276" w:before="0" w:after="200"/>
        <w:jc w:val="left"/>
        <w:rPr>
          <w:rFonts w:ascii="Times New Roman" w:hAnsi="Times New Roman"/>
          <w:sz w:val="24"/>
          <w:szCs w:val="24"/>
        </w:rPr>
      </w:pPr>
      <w:r>
        <w:rPr/>
      </w:r>
    </w:p>
    <w:sectPr>
      <w:headerReference w:type="even" r:id="rId2"/>
      <w:headerReference w:type="default" r:id="rId3"/>
      <w:headerReference w:type="first" r:id="rId4"/>
      <w:type w:val="nextPage"/>
      <w:pgSz w:w="11906" w:h="16838"/>
      <w:pgMar w:left="1134" w:right="851" w:gutter="0" w:header="680" w:top="1134" w:footer="0" w:bottom="42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Calibri Light">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8</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16"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9"/>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03291"/>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en-US" w:bidi="ar-SA"/>
    </w:rPr>
  </w:style>
  <w:style w:type="paragraph" w:styleId="Heading1">
    <w:name w:val="Heading 1"/>
    <w:basedOn w:val="Normal"/>
    <w:next w:val="BodyText"/>
    <w:link w:val="1"/>
    <w:qFormat/>
    <w:rsid w:val="008f748e"/>
    <w:pPr>
      <w:keepNext w:val="true"/>
      <w:keepLines/>
      <w:spacing w:lineRule="atLeast" w:line="100" w:before="480" w:after="0"/>
      <w:ind w:left="1068" w:hanging="360"/>
      <w:outlineLvl w:val="0"/>
    </w:pPr>
    <w:rPr>
      <w:rFonts w:ascii="Cambria" w:hAnsi="Cambria" w:eastAsia="Times New Roman" w:cs="Cambria"/>
      <w:b/>
      <w:bCs/>
      <w:color w:val="365F91"/>
      <w:sz w:val="28"/>
      <w:szCs w:val="28"/>
      <w:lang w:eastAsia="ar-SA"/>
    </w:rPr>
  </w:style>
  <w:style w:type="paragraph" w:styleId="Heading2">
    <w:name w:val="Heading 2"/>
    <w:basedOn w:val="Normal"/>
    <w:next w:val="BodyText"/>
    <w:link w:val="2"/>
    <w:qFormat/>
    <w:rsid w:val="008f748e"/>
    <w:pPr>
      <w:widowControl w:val="false"/>
      <w:spacing w:before="200" w:after="0"/>
      <w:ind w:left="1788" w:hanging="720"/>
      <w:outlineLvl w:val="1"/>
    </w:pPr>
    <w:rPr>
      <w:rFonts w:ascii="Cambria" w:hAnsi="Cambria" w:eastAsia="Times New Roman" w:cs="Cambria"/>
      <w:b/>
      <w:bCs/>
      <w:color w:val="4F81BD"/>
      <w:sz w:val="28"/>
      <w:szCs w:val="26"/>
      <w:lang w:eastAsia="ar-SA"/>
    </w:rPr>
  </w:style>
  <w:style w:type="paragraph" w:styleId="Heading3">
    <w:name w:val="Heading 3"/>
    <w:basedOn w:val="Normal"/>
    <w:next w:val="BodyText"/>
    <w:link w:val="3"/>
    <w:qFormat/>
    <w:rsid w:val="008f748e"/>
    <w:pPr>
      <w:widowControl w:val="false"/>
      <w:spacing w:lineRule="atLeast" w:line="100" w:before="200" w:after="0"/>
      <w:ind w:left="2148" w:hanging="720"/>
      <w:outlineLvl w:val="2"/>
    </w:pPr>
    <w:rPr>
      <w:rFonts w:ascii="Times New Roman" w:hAnsi="Times New Roman" w:eastAsia="Times New Roman"/>
      <w:b/>
      <w:bCs/>
      <w:color w:val="3366FF"/>
      <w:sz w:val="28"/>
      <w:szCs w:val="20"/>
      <w:lang w:eastAsia="ar-SA"/>
    </w:rPr>
  </w:style>
  <w:style w:type="paragraph" w:styleId="Heading4">
    <w:name w:val="Heading 4"/>
    <w:basedOn w:val="Normal"/>
    <w:next w:val="Normal"/>
    <w:link w:val="4"/>
    <w:uiPriority w:val="9"/>
    <w:semiHidden/>
    <w:unhideWhenUsed/>
    <w:qFormat/>
    <w:rsid w:val="007e0e60"/>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Текст выноски Знак"/>
    <w:link w:val="BalloonText"/>
    <w:uiPriority w:val="99"/>
    <w:semiHidden/>
    <w:qFormat/>
    <w:rsid w:val="0053223e"/>
    <w:rPr>
      <w:rFonts w:ascii="Tahoma" w:hAnsi="Tahoma" w:cs="Tahoma"/>
      <w:sz w:val="16"/>
      <w:szCs w:val="16"/>
    </w:rPr>
  </w:style>
  <w:style w:type="character" w:styleId="Style6" w:customStyle="1">
    <w:name w:val="Верхний колонтитул Знак"/>
    <w:qFormat/>
    <w:rsid w:val="005c0949"/>
    <w:rPr>
      <w:rFonts w:ascii="Times New Roman" w:hAnsi="Times New Roman" w:eastAsia="Times New Roman"/>
      <w:sz w:val="24"/>
      <w:szCs w:val="24"/>
    </w:rPr>
  </w:style>
  <w:style w:type="character" w:styleId="Style7" w:customStyle="1">
    <w:name w:val="Текст сноски Знак"/>
    <w:semiHidden/>
    <w:qFormat/>
    <w:rsid w:val="005c0949"/>
    <w:rPr>
      <w:rFonts w:ascii="Times New Roman" w:hAnsi="Times New Roman" w:eastAsia="Times New Roman"/>
    </w:rPr>
  </w:style>
  <w:style w:type="character" w:styleId="Style8"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qFormat/>
    <w:rsid w:val="005c0949"/>
    <w:rPr>
      <w:vertAlign w:val="superscript"/>
    </w:rPr>
  </w:style>
  <w:style w:type="character" w:styleId="Style9" w:customStyle="1">
    <w:name w:val="Основной текст с отступом Знак"/>
    <w:qFormat/>
    <w:rsid w:val="005c0949"/>
    <w:rPr>
      <w:rFonts w:ascii="Times New Roman" w:hAnsi="Times New Roman" w:eastAsia="Times New Roman"/>
      <w:sz w:val="24"/>
      <w:szCs w:val="24"/>
    </w:rPr>
  </w:style>
  <w:style w:type="character" w:styleId="Hyperlink">
    <w:name w:val="Hyperlink"/>
    <w:uiPriority w:val="99"/>
    <w:unhideWhenUsed/>
    <w:rsid w:val="00ef5da3"/>
    <w:rPr>
      <w:color w:val="0000FF"/>
      <w:u w:val="single"/>
    </w:rPr>
  </w:style>
  <w:style w:type="character" w:styleId="Bold1" w:customStyle="1">
    <w:name w:val="bold1"/>
    <w:qFormat/>
    <w:rsid w:val="001971ed"/>
    <w:rPr>
      <w:b/>
      <w:bCs/>
    </w:rPr>
  </w:style>
  <w:style w:type="character" w:styleId="1" w:customStyle="1">
    <w:name w:val="Заголовок 1 Знак"/>
    <w:qFormat/>
    <w:rsid w:val="008f748e"/>
    <w:rPr>
      <w:rFonts w:ascii="Cambria" w:hAnsi="Cambria" w:eastAsia="Times New Roman" w:cs="Cambria"/>
      <w:b/>
      <w:bCs/>
      <w:color w:val="365F91"/>
      <w:sz w:val="28"/>
      <w:szCs w:val="28"/>
      <w:lang w:eastAsia="ar-SA"/>
    </w:rPr>
  </w:style>
  <w:style w:type="character" w:styleId="2" w:customStyle="1">
    <w:name w:val="Заголовок 2 Знак"/>
    <w:qFormat/>
    <w:rsid w:val="008f748e"/>
    <w:rPr>
      <w:rFonts w:ascii="Cambria" w:hAnsi="Cambria" w:eastAsia="Times New Roman" w:cs="Cambria"/>
      <w:b/>
      <w:bCs/>
      <w:color w:val="4F81BD"/>
      <w:sz w:val="28"/>
      <w:szCs w:val="26"/>
      <w:lang w:eastAsia="ar-SA"/>
    </w:rPr>
  </w:style>
  <w:style w:type="character" w:styleId="3" w:customStyle="1">
    <w:name w:val="Заголовок 3 Знак"/>
    <w:qFormat/>
    <w:rsid w:val="008f748e"/>
    <w:rPr>
      <w:rFonts w:ascii="Times New Roman" w:hAnsi="Times New Roman" w:eastAsia="Times New Roman"/>
      <w:b/>
      <w:bCs/>
      <w:color w:val="3366FF"/>
      <w:sz w:val="28"/>
      <w:lang w:eastAsia="ar-SA"/>
    </w:rPr>
  </w:style>
  <w:style w:type="character" w:styleId="Style10" w:customStyle="1">
    <w:name w:val="Основной текст Знак"/>
    <w:qFormat/>
    <w:rsid w:val="008f748e"/>
    <w:rPr>
      <w:sz w:val="22"/>
      <w:szCs w:val="22"/>
      <w:lang w:eastAsia="ar-SA"/>
    </w:rPr>
  </w:style>
  <w:style w:type="character" w:styleId="Style11" w:customStyle="1">
    <w:name w:val="Нижний колонтитул Знак"/>
    <w:uiPriority w:val="99"/>
    <w:qFormat/>
    <w:rsid w:val="00412015"/>
    <w:rPr>
      <w:sz w:val="22"/>
      <w:szCs w:val="22"/>
      <w:lang w:eastAsia="en-US"/>
    </w:rPr>
  </w:style>
  <w:style w:type="character" w:styleId="Style12" w:customStyle="1">
    <w:name w:val="Основной текст_"/>
    <w:link w:val="12"/>
    <w:uiPriority w:val="99"/>
    <w:qFormat/>
    <w:locked/>
    <w:rsid w:val="00412015"/>
    <w:rPr>
      <w:sz w:val="28"/>
      <w:szCs w:val="28"/>
      <w:shd w:fill="FFFFFF" w:val="clear"/>
    </w:rPr>
  </w:style>
  <w:style w:type="character" w:styleId="Style13" w:customStyle="1">
    <w:name w:val="Основной текст + Малые прописные"/>
    <w:uiPriority w:val="99"/>
    <w:qFormat/>
    <w:rsid w:val="00412015"/>
    <w:rPr>
      <w:rFonts w:ascii="Times New Roman" w:hAnsi="Times New Roman" w:cs="Times New Roman"/>
      <w:smallCaps/>
      <w:color w:val="000000"/>
      <w:spacing w:val="0"/>
      <w:w w:val="100"/>
      <w:sz w:val="28"/>
      <w:szCs w:val="28"/>
      <w:u w:val="none"/>
      <w:lang w:val="ru-RU" w:bidi="ar-SA"/>
    </w:rPr>
  </w:style>
  <w:style w:type="character" w:styleId="Annotationreference">
    <w:name w:val="annotation reference"/>
    <w:uiPriority w:val="99"/>
    <w:semiHidden/>
    <w:unhideWhenUsed/>
    <w:qFormat/>
    <w:rsid w:val="00e7294f"/>
    <w:rPr>
      <w:sz w:val="16"/>
      <w:szCs w:val="16"/>
    </w:rPr>
  </w:style>
  <w:style w:type="character" w:styleId="Style14" w:customStyle="1">
    <w:name w:val="Текст примечания Знак"/>
    <w:link w:val="Annotationtext"/>
    <w:uiPriority w:val="99"/>
    <w:semiHidden/>
    <w:qFormat/>
    <w:rsid w:val="00e7294f"/>
    <w:rPr>
      <w:lang w:eastAsia="en-US"/>
    </w:rPr>
  </w:style>
  <w:style w:type="character" w:styleId="Style15" w:customStyle="1">
    <w:name w:val="Тема примечания Знак"/>
    <w:link w:val="Annotationsubject"/>
    <w:uiPriority w:val="99"/>
    <w:semiHidden/>
    <w:qFormat/>
    <w:rsid w:val="00e7294f"/>
    <w:rPr>
      <w:b/>
      <w:bCs/>
      <w:lang w:eastAsia="en-US"/>
    </w:rPr>
  </w:style>
  <w:style w:type="character" w:styleId="Strong1">
    <w:name w:val="Strong1"/>
    <w:uiPriority w:val="22"/>
    <w:qFormat/>
    <w:rsid w:val="001d0248"/>
    <w:rPr>
      <w:b/>
      <w:bCs/>
    </w:rPr>
  </w:style>
  <w:style w:type="character" w:styleId="FollowedHyperlink">
    <w:name w:val="FollowedHyperlink"/>
    <w:basedOn w:val="DefaultParagraphFont"/>
    <w:uiPriority w:val="99"/>
    <w:semiHidden/>
    <w:unhideWhenUsed/>
    <w:rsid w:val="003d6332"/>
    <w:rPr>
      <w:color w:val="954F72" w:themeColor="followedHyperlink"/>
      <w:u w:val="single"/>
    </w:rPr>
  </w:style>
  <w:style w:type="character" w:styleId="4" w:customStyle="1">
    <w:name w:val="Заголовок 4 Знак"/>
    <w:basedOn w:val="DefaultParagraphFont"/>
    <w:uiPriority w:val="9"/>
    <w:semiHidden/>
    <w:qFormat/>
    <w:rsid w:val="007e0e60"/>
    <w:rPr>
      <w:rFonts w:ascii="Calibri Light" w:hAnsi="Calibri Light" w:eastAsia="" w:cs="" w:asciiTheme="majorHAnsi" w:cstheme="majorBidi" w:eastAsiaTheme="majorEastAsia" w:hAnsiTheme="majorHAnsi"/>
      <w:i/>
      <w:iCs/>
      <w:color w:val="2E74B5" w:themeColor="accent1" w:themeShade="bf"/>
      <w:sz w:val="22"/>
      <w:szCs w:val="22"/>
      <w:lang w:eastAsia="en-US"/>
    </w:rPr>
  </w:style>
  <w:style w:type="character" w:styleId="Pagenumber">
    <w:name w:val="page number"/>
    <w:basedOn w:val="DefaultParagraphFont"/>
    <w:qFormat/>
    <w:rsid w:val="00396317"/>
    <w:rPr/>
  </w:style>
  <w:style w:type="character" w:styleId="Style16" w:customStyle="1">
    <w:name w:val="Абзац списка Знак"/>
    <w:link w:val="ListParagraph"/>
    <w:uiPriority w:val="34"/>
    <w:qFormat/>
    <w:locked/>
    <w:rsid w:val="006429e3"/>
    <w:rPr>
      <w:sz w:val="22"/>
      <w:szCs w:val="22"/>
      <w:lang w:eastAsia="en-US"/>
    </w:rPr>
  </w:style>
  <w:style w:type="character" w:styleId="Style17" w:customStyle="1">
    <w:name w:val="комментарий"/>
    <w:qFormat/>
    <w:rsid w:val="006429e3"/>
    <w:rPr>
      <w:b/>
      <w:i/>
      <w:shd w:fill="FFFF99" w:val="clear"/>
    </w:rPr>
  </w:style>
  <w:style w:type="character" w:styleId="Linenumber1">
    <w:name w:val="line number1"/>
    <w:qFormat/>
    <w:rPr/>
  </w:style>
  <w:style w:type="character" w:styleId="LineNumber">
    <w:name w:val="Line Number"/>
    <w:rPr/>
  </w:style>
  <w:style w:type="character" w:styleId="Style18">
    <w:name w:val="Символ нумерации"/>
    <w:qFormat/>
    <w:rPr/>
  </w:style>
  <w:style w:type="character" w:styleId="Strong">
    <w:name w:val="Strong"/>
    <w:qFormat/>
    <w:rPr>
      <w:b/>
      <w:bCs/>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10"/>
    <w:rsid w:val="008f748e"/>
    <w:pPr>
      <w:spacing w:before="0" w:after="120"/>
    </w:pPr>
    <w:rPr>
      <w:lang w:eastAsia="ar-SA"/>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BalloonText">
    <w:name w:val="Balloon Text"/>
    <w:basedOn w:val="Normal"/>
    <w:link w:val="Style5"/>
    <w:uiPriority w:val="99"/>
    <w:semiHidden/>
    <w:unhideWhenUsed/>
    <w:qFormat/>
    <w:rsid w:val="0053223e"/>
    <w:pPr>
      <w:spacing w:lineRule="auto" w:line="240" w:before="0" w:after="0"/>
    </w:pPr>
    <w:rPr>
      <w:rFonts w:ascii="Tahoma" w:hAnsi="Tahoma"/>
      <w:sz w:val="16"/>
      <w:szCs w:val="16"/>
    </w:rPr>
  </w:style>
  <w:style w:type="paragraph" w:styleId="Style21" w:customStyle="1">
    <w:name w:val="Колонтитул"/>
    <w:basedOn w:val="Normal"/>
    <w:qFormat/>
    <w:pPr/>
    <w:rPr/>
  </w:style>
  <w:style w:type="paragraph" w:styleId="Header">
    <w:name w:val="Header"/>
    <w:basedOn w:val="Normal"/>
    <w:link w:val="Style6"/>
    <w:rsid w:val="005c0949"/>
    <w:pPr>
      <w:tabs>
        <w:tab w:val="clear" w:pos="708"/>
        <w:tab w:val="center" w:pos="4677" w:leader="none"/>
        <w:tab w:val="right" w:pos="9355" w:leader="none"/>
      </w:tabs>
      <w:spacing w:lineRule="auto" w:line="240" w:before="0" w:after="0"/>
    </w:pPr>
    <w:rPr>
      <w:rFonts w:ascii="Times New Roman" w:hAnsi="Times New Roman" w:eastAsia="Times New Roman"/>
      <w:sz w:val="24"/>
      <w:szCs w:val="24"/>
    </w:rPr>
  </w:style>
  <w:style w:type="paragraph" w:styleId="FootnoteText">
    <w:name w:val="Footnote Text"/>
    <w:basedOn w:val="Normal"/>
    <w:link w:val="Style7"/>
    <w:semiHidden/>
    <w:rsid w:val="005c0949"/>
    <w:pPr>
      <w:spacing w:lineRule="auto" w:line="240" w:before="0" w:after="0"/>
    </w:pPr>
    <w:rPr>
      <w:rFonts w:ascii="Times New Roman" w:hAnsi="Times New Roman" w:eastAsia="Times New Roman"/>
      <w:sz w:val="20"/>
      <w:szCs w:val="20"/>
    </w:rPr>
  </w:style>
  <w:style w:type="paragraph" w:styleId="BodyTextIndent">
    <w:name w:val="Body Text Indent"/>
    <w:basedOn w:val="Normal"/>
    <w:link w:val="Style9"/>
    <w:rsid w:val="005c0949"/>
    <w:pPr>
      <w:spacing w:lineRule="auto" w:line="240" w:before="0" w:after="0"/>
      <w:ind w:left="360" w:hanging="0"/>
    </w:pPr>
    <w:rPr>
      <w:rFonts w:ascii="Times New Roman" w:hAnsi="Times New Roman" w:eastAsia="Times New Roman"/>
      <w:sz w:val="24"/>
      <w:szCs w:val="24"/>
    </w:rPr>
  </w:style>
  <w:style w:type="paragraph" w:styleId="ListParagraph">
    <w:name w:val="List Paragraph"/>
    <w:basedOn w:val="Normal"/>
    <w:link w:val="Style16"/>
    <w:uiPriority w:val="34"/>
    <w:qFormat/>
    <w:rsid w:val="00a647d0"/>
    <w:pPr>
      <w:spacing w:before="0" w:after="200"/>
      <w:ind w:left="720" w:hanging="0"/>
      <w:contextualSpacing/>
    </w:pPr>
    <w:rPr/>
  </w:style>
  <w:style w:type="paragraph" w:styleId="11" w:customStyle="1">
    <w:name w:val="Абзац списка1"/>
    <w:basedOn w:val="Normal"/>
    <w:qFormat/>
    <w:rsid w:val="008f748e"/>
    <w:pPr>
      <w:widowControl w:val="false"/>
      <w:ind w:left="720" w:firstLine="709"/>
    </w:pPr>
    <w:rPr>
      <w:lang w:eastAsia="ar-SA"/>
    </w:rPr>
  </w:style>
  <w:style w:type="paragraph" w:styleId="Footer">
    <w:name w:val="Footer"/>
    <w:basedOn w:val="Normal"/>
    <w:link w:val="Style11"/>
    <w:uiPriority w:val="99"/>
    <w:rsid w:val="00412015"/>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qFormat/>
    <w:rsid w:val="00412015"/>
    <w:pPr>
      <w:spacing w:lineRule="auto" w:line="240" w:before="30" w:after="30"/>
    </w:pPr>
    <w:rPr>
      <w:rFonts w:ascii="Arial" w:hAnsi="Arial" w:cs="Arial"/>
      <w:color w:val="332E2D"/>
      <w:spacing w:val="2"/>
      <w:sz w:val="24"/>
      <w:szCs w:val="24"/>
      <w:lang w:eastAsia="ru-RU"/>
    </w:rPr>
  </w:style>
  <w:style w:type="paragraph" w:styleId="12" w:customStyle="1">
    <w:name w:val="Основной текст1"/>
    <w:basedOn w:val="Normal"/>
    <w:link w:val="Style12"/>
    <w:uiPriority w:val="99"/>
    <w:qFormat/>
    <w:rsid w:val="00412015"/>
    <w:pPr>
      <w:widowControl w:val="false"/>
      <w:shd w:val="clear" w:color="auto" w:fill="FFFFFF"/>
      <w:spacing w:lineRule="exact" w:line="302" w:before="0" w:after="0"/>
    </w:pPr>
    <w:rPr>
      <w:sz w:val="28"/>
      <w:szCs w:val="28"/>
      <w:lang w:eastAsia="ru-RU"/>
    </w:rPr>
  </w:style>
  <w:style w:type="paragraph" w:styleId="Annotationtext">
    <w:name w:val="annotation text"/>
    <w:basedOn w:val="Normal"/>
    <w:link w:val="Style14"/>
    <w:uiPriority w:val="99"/>
    <w:semiHidden/>
    <w:unhideWhenUsed/>
    <w:qFormat/>
    <w:rsid w:val="00e7294f"/>
    <w:pPr>
      <w:spacing w:lineRule="auto" w:line="240"/>
    </w:pPr>
    <w:rPr>
      <w:sz w:val="20"/>
      <w:szCs w:val="20"/>
    </w:rPr>
  </w:style>
  <w:style w:type="paragraph" w:styleId="Annotationsubject">
    <w:name w:val="annotation subject"/>
    <w:basedOn w:val="Annotationtext"/>
    <w:next w:val="Annotationtext"/>
    <w:link w:val="Style15"/>
    <w:uiPriority w:val="99"/>
    <w:semiHidden/>
    <w:unhideWhenUsed/>
    <w:qFormat/>
    <w:rsid w:val="00e7294f"/>
    <w:pPr/>
    <w:rPr>
      <w:b/>
      <w:bCs/>
    </w:rPr>
  </w:style>
  <w:style w:type="paragraph" w:styleId="Default" w:customStyle="1">
    <w:name w:val="Default"/>
    <w:qFormat/>
    <w:rsid w:val="00515767"/>
    <w:pPr>
      <w:widowControl/>
      <w:suppressAutoHyphens w:val="true"/>
      <w:bidi w:val="0"/>
      <w:spacing w:before="0" w:after="0"/>
      <w:jc w:val="left"/>
    </w:pPr>
    <w:rPr>
      <w:rFonts w:ascii="Times New Roman" w:hAnsi="Times New Roman" w:eastAsia="Calibri" w:cs="Times New Roman"/>
      <w:color w:val="000000"/>
      <w:kern w:val="0"/>
      <w:sz w:val="24"/>
      <w:szCs w:val="24"/>
      <w:lang w:val="ru-RU" w:eastAsia="ru-RU" w:bidi="ar-SA"/>
    </w:rPr>
  </w:style>
  <w:style w:type="paragraph" w:styleId="Style22" w:customStyle="1">
    <w:name w:val="Содержимое врезки"/>
    <w:basedOn w:val="Normal"/>
    <w:qFormat/>
    <w:pPr/>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3d6332"/>
  </w:style>
  <w:style w:type="numbering" w:styleId="28009843531">
    <w:name w:val="28009843531"/>
    <w:qFormat/>
  </w:style>
  <w:style w:type="numbering" w:styleId="34154788941">
    <w:name w:val="34154788941"/>
    <w:qFormat/>
  </w:style>
  <w:style w:type="numbering" w:styleId="18077266491">
    <w:name w:val="18077266491"/>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9">
    <w:name w:val="Table Grid"/>
    <w:basedOn w:val="a2"/>
    <w:uiPriority w:val="39"/>
    <w:rsid w:val="00644f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2"/>
    <w:uiPriority w:val="59"/>
    <w:rsid w:val="003d63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2"/>
    <w:uiPriority w:val="39"/>
    <w:rsid w:val="003963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0B3B5-645F-4FC4-B408-A1545C37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Application>AlterOffice/3.4.0.9$Linux_X86_64 LibreOffice_project/b8daf9e823b1a5463a2f48435ddc2e8696e7d4fc</Application>
  <AppVersion>15.0000</AppVersion>
  <Pages>10</Pages>
  <Words>1779</Words>
  <Characters>12068</Characters>
  <CharactersWithSpaces>13673</CharactersWithSpaces>
  <Paragraphs>218</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2025-06-27T09:00:00Z</dcterms:created>
  <dc:creator>Admin</dc:creator>
  <dc:description/>
  <dc:language>ru-RU</dc:language>
  <cp:lastModifiedBy>derkachva@corp.gidroogk.com</cp:lastModifiedBy>
  <cp:lastPrinted>2025-10-22T08:05:44Z</cp:lastPrinted>
  <dcterms:modified xsi:type="dcterms:W3CDTF">2026-07-13T14:08:05Z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file>