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«УТВЕРЖДАЮ»</w:t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Главный инженер</w:t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ЗЭС ПАО «Якутскэнерго»</w:t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________________ Доржиев Ж.Н.</w:t>
      </w:r>
    </w:p>
    <w:p>
      <w:pPr>
        <w:pStyle w:val="Normal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«____»____________ 2026 г.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Cs w:val="32"/>
        </w:rPr>
      </w:pPr>
      <w:r>
        <w:rPr>
          <w:rFonts w:eastAsia="Calibri"/>
          <w:szCs w:val="32"/>
          <w:lang w:val="x-none"/>
        </w:rPr>
        <w:t xml:space="preserve"> </w:t>
      </w:r>
      <w:r>
        <w:rPr>
          <w:rFonts w:eastAsia="Calibri"/>
          <w:szCs w:val="32"/>
        </w:rPr>
        <w:t xml:space="preserve">«ОКПД2 </w:t>
      </w:r>
      <w:r>
        <w:rPr>
          <w:rFonts w:eastAsia="Calibri"/>
          <w:szCs w:val="32"/>
        </w:rPr>
        <w:t>41</w:t>
      </w:r>
      <w:r>
        <w:rPr>
          <w:rFonts w:eastAsia="Calibri"/>
          <w:szCs w:val="32"/>
        </w:rPr>
        <w:t>.</w:t>
      </w:r>
      <w:r>
        <w:rPr>
          <w:rFonts w:eastAsia="Calibri"/>
          <w:szCs w:val="32"/>
        </w:rPr>
        <w:t>20</w:t>
      </w:r>
      <w:r>
        <w:rPr>
          <w:rFonts w:eastAsia="Calibri"/>
          <w:szCs w:val="32"/>
        </w:rPr>
        <w:t>.</w:t>
      </w:r>
      <w:r>
        <w:rPr>
          <w:rFonts w:eastAsia="Calibri"/>
          <w:szCs w:val="32"/>
        </w:rPr>
        <w:t>20.711</w:t>
      </w:r>
      <w:r>
        <w:rPr>
          <w:rFonts w:eastAsia="Calibri"/>
          <w:szCs w:val="32"/>
        </w:rPr>
        <w:t xml:space="preserve"> Поставка здания ЗРУ 10 кВ, совмещенное с ОПУ в рамках выполнения инвестиционного проекта О_508-92473»</w:t>
      </w:r>
    </w:p>
    <w:p>
      <w:pPr>
        <w:pStyle w:val="Normal"/>
        <w:jc w:val="center"/>
        <w:rPr>
          <w:rFonts w:eastAsia="Calibri"/>
          <w:szCs w:val="32"/>
        </w:rPr>
      </w:pPr>
      <w:r>
        <w:rPr>
          <w:rFonts w:eastAsia="Calibri"/>
          <w:szCs w:val="32"/>
        </w:rPr>
      </w:r>
    </w:p>
    <w:p>
      <w:pPr>
        <w:pStyle w:val="Normal"/>
        <w:jc w:val="center"/>
        <w:rPr>
          <w:rFonts w:eastAsia="Calibri"/>
          <w:b/>
          <w:bCs/>
          <w:szCs w:val="32"/>
          <w:lang w:val="x-none"/>
        </w:rPr>
      </w:pPr>
      <w:r>
        <w:rPr>
          <w:rFonts w:eastAsia="Calibri"/>
          <w:szCs w:val="32"/>
        </w:rPr>
        <w:t>Лот№___________________</w:t>
      </w:r>
    </w:p>
    <w:p>
      <w:pPr>
        <w:pStyle w:val="Normal"/>
        <w:jc w:val="center"/>
        <w:rPr>
          <w:rFonts w:eastAsia="Calibri"/>
          <w:b/>
          <w:szCs w:val="32"/>
          <w:lang w:val="x-none"/>
        </w:rPr>
      </w:pPr>
      <w:r>
        <w:rPr>
          <w:rFonts w:eastAsia="Calibri"/>
          <w:b/>
          <w:szCs w:val="32"/>
          <w:lang w:val="x-none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sdt>
      <w:sdtPr>
        <w:docPartObj>
          <w:docPartGallery w:val="Table of Contents"/>
          <w:docPartUnique w:val="true"/>
        </w:docPartObj>
        <w:id w:val="1095307955"/>
      </w:sdtPr>
      <w:sdtContent>
        <w:p>
          <w:pPr>
            <w:pStyle w:val="TOCHeading"/>
            <w:rPr/>
          </w:pPr>
          <w:r>
            <w:rPr/>
          </w:r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2"/>
            </w:rPr>
            <w:instrText xml:space="preserve"> TOC \z \o "1-3" \u \h</w:instrText>
          </w:r>
          <w:r>
            <w:rPr>
              <w:webHidden/>
              <w:rStyle w:val="Style12"/>
            </w:rPr>
            <w:fldChar w:fldCharType="separate"/>
          </w:r>
          <w:hyperlink w:anchor="_Toc233192336">
            <w:r>
              <w:rPr>
                <w:webHidden/>
                <w:rStyle w:val="Style12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3192337">
            <w:r>
              <w:rPr>
                <w:webHidden/>
                <w:rStyle w:val="Style12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3192338">
            <w:r>
              <w:rPr>
                <w:webHidden/>
                <w:rStyle w:val="Style12"/>
                <w:rFonts w:eastAsia="Calibri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3192339">
            <w:r>
              <w:rPr>
                <w:webHidden/>
                <w:rStyle w:val="Style12"/>
                <w:rFonts w:eastAsia="Calibri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3192340">
            <w:r>
              <w:rPr>
                <w:webHidden/>
                <w:rStyle w:val="Style12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3192341">
            <w:r>
              <w:rPr>
                <w:webHidden/>
                <w:rStyle w:val="Style12"/>
              </w:rPr>
              <w:t>2.1.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540" w:leader="none"/>
              <w:tab w:val="right" w:pos="966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3192342">
            <w:r>
              <w:rPr>
                <w:webHidden/>
                <w:rStyle w:val="Style12"/>
                <w:b/>
                <w:sz w:val="24"/>
                <w:szCs w:val="24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b/>
                <w:sz w:val="24"/>
                <w:szCs w:val="2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66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3192343">
            <w:r>
              <w:rPr>
                <w:webHidden/>
                <w:rStyle w:val="Style12"/>
                <w:sz w:val="24"/>
                <w:szCs w:val="24"/>
              </w:rPr>
              <w:t>Таблица 1.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540" w:leader="none"/>
              <w:tab w:val="right" w:pos="966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3192344">
            <w:r>
              <w:rPr>
                <w:webHidden/>
                <w:rStyle w:val="Style12"/>
                <w:b/>
                <w:sz w:val="24"/>
                <w:szCs w:val="24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b/>
                <w:sz w:val="24"/>
                <w:szCs w:val="24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66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3192345">
            <w:r>
              <w:rPr>
                <w:webHidden/>
                <w:rStyle w:val="Style12"/>
                <w:sz w:val="24"/>
                <w:szCs w:val="24"/>
              </w:rPr>
              <w:t>Таблица 2. 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3192346">
            <w:r>
              <w:rPr>
                <w:webHidden/>
                <w:rStyle w:val="Style12"/>
              </w:rPr>
              <w:t>2.2.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на Здание ЗРУ-10 кВ, совмещенное с ОПУ.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66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233192347">
            <w:r>
              <w:rPr>
                <w:webHidden/>
                <w:rStyle w:val="Style12"/>
                <w:sz w:val="24"/>
                <w:szCs w:val="24"/>
              </w:rPr>
              <w:t>Таблица 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3192348">
            <w:r>
              <w:rPr>
                <w:webHidden/>
                <w:rStyle w:val="Style12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Требования к документации в составе заявки Участника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233192349">
            <w:r>
              <w:rPr>
                <w:webHidden/>
                <w:rStyle w:val="Style12"/>
              </w:rPr>
              <w:t>4.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</w:rPr>
              <w:t>Приложения: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_Toc233192349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  <w:vanish w:val="false"/>
            </w:rPr>
            <w:fldChar w:fldCharType="end"/>
          </w:r>
        </w:p>
      </w:sdtContent>
    </w:sdt>
    <w:p>
      <w:pPr>
        <w:pStyle w:val="TOC2"/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numPr>
          <w:ilvl w:val="0"/>
          <w:numId w:val="4"/>
        </w:numPr>
        <w:ind w:left="720" w:hanging="360"/>
        <w:rPr/>
      </w:pPr>
      <w:bookmarkStart w:id="2" w:name="_Toc233192336"/>
      <w:bookmarkStart w:id="3" w:name="_Toc179723462"/>
      <w:r>
        <w:rPr/>
        <w:t>Общие сведения</w:t>
      </w:r>
      <w:bookmarkEnd w:id="2"/>
      <w:bookmarkEnd w:id="3"/>
    </w:p>
    <w:p>
      <w:pPr>
        <w:pStyle w:val="Heading2"/>
        <w:numPr>
          <w:ilvl w:val="1"/>
          <w:numId w:val="4"/>
        </w:numPr>
        <w:rPr/>
      </w:pPr>
      <w:r>
        <w:rPr>
          <w:lang w:val="ru-RU"/>
        </w:rPr>
        <w:t xml:space="preserve"> </w:t>
      </w:r>
      <w:bookmarkStart w:id="4" w:name="_Toc233192337"/>
      <w:bookmarkStart w:id="5" w:name="_Toc179723463"/>
      <w:r>
        <w:rPr/>
        <w:t>Обозначения и сокращения</w:t>
      </w:r>
      <w:bookmarkEnd w:id="4"/>
      <w:bookmarkEnd w:id="5"/>
    </w:p>
    <w:tbl>
      <w:tblPr>
        <w:tblStyle w:val="affff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2"/>
        <w:gridCol w:w="7811"/>
      </w:tblGrid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 xml:space="preserve">IPXX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>International Protection Marking (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код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степени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защиты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оболочки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>)</w:t>
            </w:r>
          </w:p>
        </w:tc>
      </w:tr>
      <w:tr>
        <w:trPr>
          <w:trHeight w:val="381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>MSK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шкала интенсивности землетрясений Медведева – Шпонхойера – Карника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 xml:space="preserve">RAL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цветовой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стандарт</w:t>
            </w:r>
            <w:r>
              <w:rPr>
                <w:rFonts w:eastAsia="Times New Roman" w:cs="Times New Roman"/>
                <w:kern w:val="0"/>
                <w:sz w:val="24"/>
                <w:lang w:val="en-US" w:eastAsia="ru-RU" w:bidi="ar-SA"/>
              </w:rPr>
              <w:t xml:space="preserve"> (Reichs-Ausschuss fur Lieferbedingungen)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АПВ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автоматическое повторное включение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ГОСТ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государственный стандарт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ЗИП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запасные части, инструмент и принадлежности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ЗЭС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Западные электрические сети (филиал ПАО «Якутскэнерго»)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ИСМ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интегрированная система менеджмента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ИСО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международная организация по стандартизации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КЗ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короткое замыкание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МТР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материально-технические ресурсы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НТД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нормативно-техническая документация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ОКСиР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отдел капитального строительства и реконструкции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ОПН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ограничитель перенапряжения нелинейный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ПАО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публичное акционерное общество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ПВН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переходные восстанавливающие напряжения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ПНР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пусконаладочные работы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ПС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подстанция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ПУЭ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правила устройства электроустановок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РКВ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реле контроля исправности цепи включения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РКО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реле контроля исправности цепи отключения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РФ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Российская Федерация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РЭС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район электрических сетей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ТТ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технические требования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УХЛ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климатическое исполнение «умеренный и холодный климат»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ФЗ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федеральный закон</w:t>
            </w:r>
          </w:p>
        </w:tc>
      </w:tr>
      <w:tr>
        <w:trPr>
          <w:trHeight w:val="312" w:hRule="atLeast"/>
        </w:trPr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ХЛ </w:t>
            </w:r>
          </w:p>
        </w:tc>
        <w:tc>
          <w:tcPr>
            <w:tcW w:w="7811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left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климатическое исполнение «холодный климат»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2"/>
        <w:numPr>
          <w:ilvl w:val="1"/>
          <w:numId w:val="4"/>
        </w:numPr>
        <w:spacing w:lineRule="auto" w:line="276"/>
        <w:ind w:left="426" w:hanging="426"/>
        <w:jc w:val="both"/>
        <w:rPr>
          <w:rFonts w:eastAsia="Calibri"/>
          <w:szCs w:val="24"/>
        </w:rPr>
      </w:pPr>
      <w:r>
        <w:rPr>
          <w:lang w:val="ru-RU"/>
        </w:rPr>
        <w:t xml:space="preserve"> </w:t>
      </w:r>
      <w:bookmarkStart w:id="6" w:name="_Toc233192338"/>
      <w:bookmarkStart w:id="7" w:name="_Toc179723464"/>
      <w:r>
        <w:rPr/>
        <w:t>Наименование закупаемой продукции</w:t>
      </w:r>
      <w:bookmarkEnd w:id="6"/>
      <w:bookmarkEnd w:id="7"/>
    </w:p>
    <w:p>
      <w:pPr>
        <w:pStyle w:val="Normal"/>
        <w:spacing w:lineRule="auto" w:line="276"/>
        <w:jc w:val="both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sz w:val="24"/>
          <w:szCs w:val="24"/>
        </w:rPr>
        <w:t xml:space="preserve">«ОКПД2 </w:t>
      </w:r>
      <w:r>
        <w:rPr>
          <w:rFonts w:eastAsia="Calibri"/>
          <w:sz w:val="24"/>
          <w:szCs w:val="24"/>
        </w:rPr>
        <w:t>41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0.</w:t>
      </w:r>
      <w:r>
        <w:rPr>
          <w:rFonts w:eastAsia="Calibri"/>
          <w:sz w:val="24"/>
          <w:szCs w:val="24"/>
        </w:rPr>
        <w:t>711</w:t>
      </w:r>
      <w:r>
        <w:rPr>
          <w:rFonts w:eastAsia="Calibri"/>
          <w:sz w:val="24"/>
          <w:szCs w:val="24"/>
        </w:rPr>
        <w:t xml:space="preserve"> Поставка здания ЗРУ 10 кВ, совмещенное с ОПУ в рамках выполнения инвестиционного проекта О_508-92473».</w:t>
      </w:r>
    </w:p>
    <w:p>
      <w:pPr>
        <w:pStyle w:val="Normal"/>
        <w:spacing w:lineRule="auto" w:line="276"/>
        <w:jc w:val="both"/>
        <w:rPr>
          <w:rFonts w:eastAsia="Calibri"/>
          <w:sz w:val="24"/>
          <w:szCs w:val="24"/>
          <w:lang w:val="x-none"/>
        </w:rPr>
      </w:pPr>
      <w:r>
        <w:rPr>
          <w:rFonts w:eastAsia="Calibri"/>
          <w:sz w:val="24"/>
          <w:szCs w:val="24"/>
          <w:lang w:val="x-none"/>
        </w:rPr>
      </w:r>
    </w:p>
    <w:p>
      <w:pPr>
        <w:pStyle w:val="Heading2"/>
        <w:numPr>
          <w:ilvl w:val="1"/>
          <w:numId w:val="4"/>
        </w:numPr>
        <w:tabs>
          <w:tab w:val="clear" w:pos="708"/>
          <w:tab w:val="left" w:pos="426" w:leader="none"/>
        </w:tabs>
        <w:ind w:left="284" w:hanging="284"/>
        <w:rPr>
          <w:rFonts w:eastAsia="Calibri"/>
        </w:rPr>
      </w:pPr>
      <w:bookmarkStart w:id="8" w:name="_Toc233192339"/>
      <w:bookmarkStart w:id="9" w:name="_Toc179723465"/>
      <w:r>
        <w:rPr/>
        <w:t>Цел</w:t>
      </w:r>
      <w:r>
        <w:rPr>
          <w:lang w:val="ru-RU"/>
        </w:rPr>
        <w:t>ь использования закупаемой продукции</w:t>
      </w:r>
      <w:bookmarkEnd w:id="8"/>
      <w:bookmarkEnd w:id="9"/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Здание </w:t>
      </w:r>
      <w:r>
        <w:rPr>
          <w:sz w:val="24"/>
          <w:szCs w:val="24"/>
          <w:lang w:val="x-none"/>
        </w:rPr>
        <w:t>ЗРУ 10 кВ</w:t>
      </w:r>
      <w:r>
        <w:rPr>
          <w:sz w:val="24"/>
          <w:szCs w:val="24"/>
        </w:rPr>
        <w:t>, совмещенное с ОПУ закупается для последующей работы на ПС 110 кВ Нюрба.</w:t>
      </w:r>
    </w:p>
    <w:p>
      <w:pPr>
        <w:pStyle w:val="Normal"/>
        <w:spacing w:lineRule="auto" w:line="276" w:before="0"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>
      <w:pPr>
        <w:pStyle w:val="Heading2"/>
        <w:numPr>
          <w:ilvl w:val="0"/>
          <w:numId w:val="4"/>
        </w:numPr>
        <w:ind w:left="720" w:hanging="360"/>
        <w:rPr/>
      </w:pPr>
      <w:bookmarkStart w:id="10" w:name="_Toc233192340"/>
      <w:bookmarkStart w:id="11" w:name="_Toc179723466"/>
      <w:r>
        <w:rPr/>
        <w:t>Требования к продукции</w:t>
      </w:r>
      <w:bookmarkEnd w:id="10"/>
      <w:bookmarkEnd w:id="11"/>
    </w:p>
    <w:p>
      <w:pPr>
        <w:pStyle w:val="ListParagraph"/>
        <w:numPr>
          <w:ilvl w:val="1"/>
          <w:numId w:val="4"/>
        </w:numPr>
        <w:spacing w:lineRule="auto" w:line="276" w:before="0" w:after="120"/>
        <w:contextualSpacing/>
        <w:jc w:val="both"/>
        <w:outlineLvl w:val="1"/>
        <w:rPr>
          <w:b/>
          <w:bCs/>
        </w:rPr>
      </w:pPr>
      <w:r>
        <w:rPr/>
        <w:t xml:space="preserve"> </w:t>
      </w:r>
      <w:bookmarkStart w:id="12" w:name="_Toc233192341"/>
      <w:r>
        <w:rPr>
          <w:b/>
          <w:bCs/>
        </w:rPr>
        <w:t>Требования к объемам и срокам поставки</w:t>
      </w:r>
      <w:bookmarkEnd w:id="12"/>
    </w:p>
    <w:p>
      <w:pPr>
        <w:pStyle w:val="ListParagraph"/>
        <w:numPr>
          <w:ilvl w:val="2"/>
          <w:numId w:val="4"/>
        </w:numPr>
        <w:spacing w:lineRule="auto" w:line="276" w:before="0" w:after="120"/>
        <w:contextualSpacing/>
        <w:jc w:val="both"/>
        <w:outlineLvl w:val="2"/>
        <w:rPr>
          <w:b/>
        </w:rPr>
      </w:pPr>
      <w:bookmarkStart w:id="13" w:name="_Toc233192342"/>
      <w:r>
        <w:rPr>
          <w:b/>
        </w:rPr>
        <w:t>Перечень и объем закупаемой продукции</w:t>
      </w:r>
      <w:bookmarkEnd w:id="13"/>
    </w:p>
    <w:p>
      <w:pPr>
        <w:pStyle w:val="Heading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bookmarkStart w:id="14" w:name="_Toc233192343"/>
      <w:r>
        <w:rPr>
          <w:rFonts w:ascii="Times New Roman" w:hAnsi="Times New Roman"/>
          <w:sz w:val="22"/>
          <w:szCs w:val="22"/>
        </w:rPr>
        <w:t>Таблица 1. Перечень и объем закупаемой продукции</w:t>
      </w:r>
      <w:bookmarkEnd w:id="14"/>
    </w:p>
    <w:tbl>
      <w:tblPr>
        <w:tblW w:w="96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7"/>
        <w:gridCol w:w="3970"/>
        <w:gridCol w:w="2550"/>
        <w:gridCol w:w="2410"/>
      </w:tblGrid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98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Здание ЗРУ-10 кВ, совмещенное с ОПУ </w:t>
            </w:r>
            <w:r>
              <w:rPr>
                <w:i/>
                <w:sz w:val="22"/>
                <w:szCs w:val="22"/>
              </w:rPr>
              <w:t>в том числе:</w:t>
            </w:r>
          </w:p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Здание комплектно с системой жизнеобеспечения </w:t>
            </w:r>
          </w:p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(вентиляция, отопление, освещение и кондиционирование);</w:t>
            </w:r>
          </w:p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Металлические площадки с лестницами и ограждением;</w:t>
            </w:r>
          </w:p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Эксплуатационная документация (руководство по эксплуатации и инструкция по монтажу, паспорт на здание, комплект чертежей необходимый для строительно-</w:t>
            </w:r>
          </w:p>
          <w:p>
            <w:pPr>
              <w:pStyle w:val="Normal"/>
              <w:widowControl w:val="false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монтажных работ,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2"/>
                <w:szCs w:val="22"/>
              </w:rPr>
              <w:t>комплектовочно-отгрузочная ведомость.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0"/>
              </w:rPr>
              <w:t>1</w:t>
            </w:r>
          </w:p>
        </w:tc>
      </w:tr>
    </w:tbl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4"/>
        </w:numPr>
        <w:spacing w:lineRule="auto" w:line="276" w:before="0" w:after="120"/>
        <w:contextualSpacing/>
        <w:jc w:val="both"/>
        <w:outlineLvl w:val="2"/>
        <w:rPr>
          <w:b/>
        </w:rPr>
      </w:pPr>
      <w:bookmarkStart w:id="15" w:name="_Toc233192344"/>
      <w:r>
        <w:rPr>
          <w:b/>
        </w:rPr>
        <w:t>Требования к срокам поставки продукции</w:t>
      </w:r>
      <w:bookmarkEnd w:id="15"/>
    </w:p>
    <w:p>
      <w:pPr>
        <w:pStyle w:val="Heading3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bookmarkStart w:id="16" w:name="_Toc233192345"/>
      <w:r>
        <w:rPr>
          <w:rFonts w:ascii="Times New Roman" w:hAnsi="Times New Roman"/>
          <w:sz w:val="24"/>
          <w:szCs w:val="24"/>
        </w:rPr>
        <w:t>Таблица 2. Требования к срокам поставки продукции</w:t>
      </w:r>
      <w:bookmarkEnd w:id="16"/>
    </w:p>
    <w:tbl>
      <w:tblPr>
        <w:tblW w:w="9639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6"/>
        <w:gridCol w:w="3971"/>
        <w:gridCol w:w="2552"/>
        <w:gridCol w:w="2409"/>
      </w:tblGrid>
      <w:tr>
        <w:trPr>
          <w:trHeight w:val="68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" w:leader="none"/>
              </w:tabs>
              <w:ind w:left="-142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0" w:leader="none"/>
              </w:tabs>
              <w:ind w:left="-142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33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" w:leader="none"/>
              </w:tabs>
              <w:ind w:left="-142" w:right="-10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1165" w:hRule="atLeast"/>
          <w:cantSplit w:val="true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ЗРУ-10 кВ, совмещенное с ОПУ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150 дней с даты подписания договора</w:t>
            </w:r>
          </w:p>
        </w:tc>
      </w:tr>
    </w:tbl>
    <w:p>
      <w:pPr>
        <w:sectPr>
          <w:footerReference w:type="default" r:id="rId2"/>
          <w:footerReference w:type="first" r:id="rId3"/>
          <w:type w:val="nextPage"/>
          <w:pgSz w:w="11906" w:h="16838"/>
          <w:pgMar w:left="1304" w:right="926" w:gutter="0" w:header="0" w:top="540" w:footer="567" w:bottom="993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2"/>
        <w:numPr>
          <w:ilvl w:val="1"/>
          <w:numId w:val="4"/>
        </w:numPr>
        <w:rPr/>
      </w:pPr>
      <w:r>
        <w:rPr>
          <w:lang w:val="ru-RU"/>
        </w:rPr>
        <w:t xml:space="preserve">  </w:t>
      </w:r>
      <w:bookmarkStart w:id="17" w:name="_Toc233192346"/>
      <w:bookmarkStart w:id="18" w:name="_Toc179723473"/>
      <w:r>
        <w:rPr/>
        <w:t xml:space="preserve">Требования на </w:t>
      </w:r>
      <w:r>
        <w:rPr>
          <w:lang w:val="ru-RU"/>
        </w:rPr>
        <w:t>Здание</w:t>
      </w:r>
      <w:r>
        <w:rPr/>
        <w:t xml:space="preserve"> </w:t>
      </w:r>
      <w:bookmarkEnd w:id="18"/>
      <w:r>
        <w:rPr>
          <w:lang w:val="ru-RU"/>
        </w:rPr>
        <w:t>ЗРУ-10 кВ, совмещенное с ОПУ.</w:t>
      </w:r>
      <w:bookmarkEnd w:id="17"/>
    </w:p>
    <w:p>
      <w:pPr>
        <w:pStyle w:val="Heading3"/>
        <w:jc w:val="right"/>
        <w:rPr>
          <w:rFonts w:ascii="Times New Roman" w:hAnsi="Times New Roman"/>
          <w:sz w:val="22"/>
          <w:szCs w:val="22"/>
        </w:rPr>
      </w:pPr>
      <w:bookmarkStart w:id="19" w:name="_Toc233192347"/>
      <w:bookmarkStart w:id="20" w:name="_Toc179723474"/>
      <w:r>
        <w:rPr>
          <w:rFonts w:ascii="Times New Roman" w:hAnsi="Times New Roman"/>
          <w:sz w:val="22"/>
          <w:szCs w:val="22"/>
        </w:rPr>
        <w:t>Таблица 3. Требования к продукции</w:t>
      </w:r>
      <w:bookmarkEnd w:id="19"/>
      <w:bookmarkEnd w:id="20"/>
    </w:p>
    <w:tbl>
      <w:tblPr>
        <w:tblStyle w:val="affff"/>
        <w:tblpPr w:vertAnchor="text" w:horzAnchor="text" w:tblpXSpec="center" w:leftFromText="180" w:rightFromText="180" w:tblpY="1"/>
        <w:tblW w:w="137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60"/>
        <w:gridCol w:w="5968"/>
        <w:gridCol w:w="2758"/>
        <w:gridCol w:w="12"/>
        <w:gridCol w:w="1971"/>
        <w:gridCol w:w="2206"/>
      </w:tblGrid>
      <w:tr>
        <w:trPr/>
        <w:tc>
          <w:tcPr>
            <w:tcW w:w="86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596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75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0"/>
                <w:lang w:val="ru-RU" w:eastAsia="ru-RU" w:bidi="ar-SA"/>
              </w:rPr>
              <w:t>*</w:t>
            </w:r>
          </w:p>
        </w:tc>
        <w:tc>
          <w:tcPr>
            <w:tcW w:w="4189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6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96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75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9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98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right="-158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8738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1.1</w:t>
            </w:r>
          </w:p>
        </w:tc>
        <w:tc>
          <w:tcPr>
            <w:tcW w:w="8738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2"/>
                <w:szCs w:val="22"/>
                <w:lang w:val="ru-RU" w:eastAsia="ru-RU" w:bidi="ar-SA"/>
              </w:rPr>
              <w:t>Основные технические характеристики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1.1.1</w:t>
            </w:r>
          </w:p>
        </w:tc>
        <w:tc>
          <w:tcPr>
            <w:tcW w:w="59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Изготовитель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*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Указать изготовителя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1.1.2</w:t>
            </w:r>
          </w:p>
        </w:tc>
        <w:tc>
          <w:tcPr>
            <w:tcW w:w="59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Заводской тип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*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Указать тип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1.1.3</w:t>
            </w:r>
          </w:p>
        </w:tc>
        <w:tc>
          <w:tcPr>
            <w:tcW w:w="59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Количество, комплект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1.1.4</w:t>
            </w:r>
          </w:p>
        </w:tc>
        <w:tc>
          <w:tcPr>
            <w:tcW w:w="59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Тип здания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Металлическое, утепленное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872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Номинальные значения климатических факторов внешней среды по ГОСТ 15150-69: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2.1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Климатическое исполнение (У, ХЛ) и категория размещения по ГОСТ 15150-69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УХЛ1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2.2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Верхнее рабочее значение температуры окружающего воздуха, оС, не выше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+40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2.3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Нижнее рабочее значение температуры окружающего воздуха, оС, не ниже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-60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2.4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Максимальное значение высоты установки над уровнем моря, м, не менее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1000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2.5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Сейсмичность района, баллов по шкале MSK-64, не менее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 карте В, ОСР-2015 по СП 14.13330.2018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872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Конструктивные параметры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Габаритные размеры здания, не менее, мм (дополнительно согласовываются с проектной организацией и заказчиком в зависимости от устанавливаемого оборудования):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ширина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высота (наружная);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высота (внутренняя);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высота фундамента;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длина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ширина 6500;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высота (наружная) 4180;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высота (внутренняя) 3750;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высота фундамента 1940;</w:t>
            </w:r>
            <w:bookmarkStart w:id="21" w:name="_GoBack_Копия_1_Копия_1"/>
            <w:bookmarkEnd w:id="21"/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длина 21500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3.2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Степень огнестойкости здания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2"/>
                <w:lang w:val="en-US" w:eastAsia="ru-RU" w:bidi="ar-SA"/>
              </w:rPr>
              <w:t>II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3.3</w:t>
            </w:r>
          </w:p>
        </w:tc>
        <w:tc>
          <w:tcPr>
            <w:tcW w:w="596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Класс функциональной пожарной опасности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lightGray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Ф5.1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3.4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Класс конструктивной пожарной опасности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С0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3.5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Класс пожарной безопасности строительных конструкций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К0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3.6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Тип фундаментов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железобетонные сваи сечением 350х350 мм (серия 3.407-115 вып.4) с металлическим ростверком из двутавров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3.7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Высота фундаментов, м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2,0 м над уровнем планировки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3.8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Каркас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Основными несущими конструкциями - металлический каркас, выполненный в одноэтажном объеме. Марку стали назначить в соответствии с климатическими условиями.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Каркас с нанесением грунта ГФ-021 толщиной не менее 0,02, мм и огнезащитным терморасширяющимся материалом «Огракс-СК-1» (ТУ 5728-061-13267785-09) или аналог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3.9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Крыша (односкатная, двускатная)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Крыша (односкатная, двускатная)</w:t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3.10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Материал:</w:t>
            </w:r>
          </w:p>
        </w:tc>
        <w:tc>
          <w:tcPr>
            <w:tcW w:w="275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стен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Трехслойные сэндвич – панели с минеральной ватой на основе базальтового волокна толщиной не менее 150 мм. Облицовка панелей - стальные оцинкованные и окрашенные профилированные листы толщиной не менее 1 мм.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внутренних перегородок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Трехслойные сэндвич – панели с минеральной ватой на основе базальтового волокна толщиной не менее 150 мм. Облицовка панелей - стальные оцинкованные и окрашенные профилированные листы толщиной не менее 1 мм.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потолка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Потолок в помещениях отсутствует. Помещения по высоте ограничены конструкцией кровли.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пола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Пол из листа стального рифленого по ГОСТ 8568-77 толщиной 4 мм по стальному каркасу с минераловатным утеплителем толщиной не менее 200 мм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кровли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Ограждающие конструкции кровли – кровельные сэндвич-панели с верхним гофрированным листом, толщиной не менее 200 мм.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3.11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Двери внешние (размер/количество) нигде не указана ширина дверей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 шт. Размеры в соответствии с СП 1.13130.2020.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Металлические утепленные противопожарные. Количество и размеры согласно планировочным решениям. Входные двери с доводчиками.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3.12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Окна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ПВХ с поворотно-откидным механизмом и металлическими решетками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3.13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Система водослива (да, нет)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Да, с обогревом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3.14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Система снегозадерживающих устройств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Да, с системой обогрева свесов кровли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3.14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Лестничные площадки, лестницы (количество)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2 (Высота от уровня планировки до уровня установки здания,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2000 мм)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3.15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Окраска внутри помещения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Светлые тона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3.16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Окраска здания снаружи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на основании Руководства по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применению фирменного стиля компании ПАО «Якутскэнерго», см. ЭПЦ-241201-КР.ГЧ14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3.17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Антикоррозионное покрытие металлоконструкций здания порошковой окраской, сохраняющее свойства на весь срок эксплуатации (да/нет)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3.18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Площадки обслуживания с лестничным маршем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Нет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3.19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Закладные элементы под оборудование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Швеллер 10 для установки напольных шкафов.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Профильная труба 50х25 для установки навесных шкафов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3.20 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Кабельные проходки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Стальные трубы в основании здания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873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Собственные нужды здания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4.1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Отопление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Электрическое от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Конвекторов.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помещении дизель-генератора -электрические взрывозащищенные конвектора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4.2</w:t>
            </w:r>
          </w:p>
        </w:tc>
        <w:tc>
          <w:tcPr>
            <w:tcW w:w="596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Температурный режим внутри здания, °С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(в соответствии с ПУЭ п. 4.2.107)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при отсутствии дежурного и ремонтного персонала;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при проведении ремонтных работ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Не ниже +20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Не ниже +20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4.3</w:t>
            </w:r>
          </w:p>
        </w:tc>
        <w:tc>
          <w:tcPr>
            <w:tcW w:w="596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Освещение (тип ламп – энергосберегающие светодиодные)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(да, нет):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аварийное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рабочее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наружное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4.4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Вентиляция помещения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Приточно-вытяжная,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см. ЭПЦ-241201-ИОС4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4.5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Кондиционирование (да, нет)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4.6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Система пожарной сигнализации (с выводом в систему ТМ и звуковую сигнализацию) (да, нет)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4.7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Система охранной сигнализации (с выводом в систему ТМ и звуковую сигнализацию) (да, нет)</w:t>
            </w:r>
          </w:p>
        </w:tc>
        <w:tc>
          <w:tcPr>
            <w:tcW w:w="277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873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Комплектность поставки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5.1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Здание комплектно с системой жизнеобеспечения (вентиляция, отопление, освещение и кондиционирование) (да, нет)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5.2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Металлические площадки с лестницами и ограждением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5.3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ЗИП (да, нет)               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Нет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5.4</w:t>
            </w:r>
          </w:p>
        </w:tc>
        <w:tc>
          <w:tcPr>
            <w:tcW w:w="596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Эксплуатационная документация на русском языке (количество экземпляров):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руководство по эксплуатации и инструкция по монтажу;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паспорт на здание; 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комплект чертежей, необходимый для строительно-монтажных работ;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комплектовочно-отгрузочную ведомость.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3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873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по надежности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6.1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Гарантийный срок с момента ввода в эксплуатацию, месяцев, не менее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*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6.2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Срок службы, лет, не менее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50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6.3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Наличие Российских Сертификатов безопасности (да, нет)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873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Маркировка, упаковка, транспортировка, условия хранения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7.1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Маркировка, упаковка, консервация по ГОСТ 7746-2001, ГОСТ 14192-96, ГОСТ 23216-78 или по требованиям МЭК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Да.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Открытые части блоков профилированными листами на деревянном каркасе, упаковка блоков в термоусадочную пленку.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7.2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Условия транспортирования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ж/д транспорт до ст. Нижний Бестях, далее </w:t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речным транспортом (в период навигации), либо автотранспортом (по зимнику)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7.3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Растаможивание (при необходимости) и доставка до места назначения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Республика Саха (Якутия), Нюрбинский улус, с. Антоновка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  <w:tr>
        <w:trPr/>
        <w:tc>
          <w:tcPr>
            <w:tcW w:w="8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7.4</w:t>
            </w:r>
          </w:p>
        </w:tc>
        <w:tc>
          <w:tcPr>
            <w:tcW w:w="5968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Условия хранения, срок хранения, отдельно хранящихся деталей, сборочных единиц, ЗИП в упаковке изготовителя, лет, не более </w:t>
            </w:r>
          </w:p>
        </w:tc>
        <w:tc>
          <w:tcPr>
            <w:tcW w:w="277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Условия хранения, срок хранения, отдельно хранящихся деталей, сборочных единиц, ЗИП в упаковке изготовителя, лет, не более </w:t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Паспорт изделия (формуляр)</w:t>
            </w:r>
          </w:p>
        </w:tc>
      </w:tr>
    </w:tbl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Примечания:</w:t>
      </w:r>
    </w:p>
    <w:p>
      <w:pPr>
        <w:sectPr>
          <w:footerReference w:type="default" r:id="rId4"/>
          <w:footerReference w:type="first" r:id="rId5"/>
          <w:type w:val="nextPage"/>
          <w:pgSz w:orient="landscape" w:w="16838" w:h="11906"/>
          <w:pgMar w:left="993" w:right="540" w:gutter="0" w:header="0" w:top="1304" w:footer="567" w:bottom="926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 w:val="22"/>
          <w:szCs w:val="24"/>
        </w:rPr>
      </w:pPr>
      <w:r>
        <w:rPr>
          <w:bCs/>
          <w:sz w:val="22"/>
          <w:szCs w:val="22"/>
        </w:rPr>
        <w:t>Параметры, отмеченные *, должны быть представлены производителем.</w:t>
      </w:r>
    </w:p>
    <w:p>
      <w:pPr>
        <w:pStyle w:val="Normal"/>
        <w:jc w:val="both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2"/>
        <w:numPr>
          <w:ilvl w:val="0"/>
          <w:numId w:val="4"/>
        </w:numPr>
        <w:ind w:left="720" w:hanging="360"/>
        <w:rPr/>
      </w:pPr>
      <w:r>
        <w:rPr/>
        <w:t xml:space="preserve"> </w:t>
      </w:r>
      <w:bookmarkStart w:id="22" w:name="_Toc233192348"/>
      <w:r>
        <w:rPr/>
        <w:t>Требования к документации в составе заявки Участника</w:t>
      </w:r>
      <w:bookmarkEnd w:id="22"/>
    </w:p>
    <w:p>
      <w:pPr>
        <w:pStyle w:val="Normal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</w:t>
      </w:r>
      <w:r>
        <w:rPr>
          <w:i/>
          <w:i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 требованиям настоящих ТТ, предоставляет следующие документы:</w:t>
      </w:r>
    </w:p>
    <w:p>
      <w:pPr>
        <w:pStyle w:val="Normal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</w:r>
    </w:p>
    <w:p>
      <w:pPr>
        <w:pStyle w:val="Normal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Копию Декларации о соответствии на все оборудования согласно таблицы 1.1 о соответствии требованиям на трансформаторы тока и напряжения (В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Декларация о соответствии, должна иметь статус действующего документа и удовлетворять требованиям ГОСТ Р 56532-2015;</w:t>
      </w:r>
    </w:p>
    <w:p>
      <w:pPr>
        <w:pStyle w:val="Normal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3.3. Габаритные и установочные чертежи, чертежи компоновки оборудования.</w:t>
      </w:r>
    </w:p>
    <w:p>
      <w:pPr>
        <w:pStyle w:val="Normal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 Отсканированные копии утвержденных ТУ (полный текст), в соответствии с которыми выпускаются трансформаторы напряжения.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pStyle w:val="Heading2"/>
        <w:numPr>
          <w:ilvl w:val="0"/>
          <w:numId w:val="4"/>
        </w:numPr>
        <w:ind w:left="720" w:hanging="360"/>
        <w:rPr/>
      </w:pPr>
      <w:bookmarkStart w:id="23" w:name="_Toc233192349"/>
      <w:r>
        <w:rPr/>
        <w:t>Приложения:</w:t>
      </w:r>
      <w:bookmarkEnd w:id="23"/>
    </w:p>
    <w:p>
      <w:pPr>
        <w:pStyle w:val="ListParagraph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 xml:space="preserve"> </w:t>
      </w:r>
      <w:r>
        <w:rPr/>
        <w:t>ЭПЦ-241201-ЗД;</w:t>
      </w:r>
    </w:p>
    <w:p>
      <w:pPr>
        <w:pStyle w:val="ListParagraph"/>
        <w:numPr>
          <w:ilvl w:val="1"/>
          <w:numId w:val="4"/>
        </w:numPr>
        <w:rPr>
          <w:lang w:eastAsia="x-none"/>
        </w:rPr>
      </w:pPr>
      <w:r>
        <w:rPr/>
        <w:t xml:space="preserve"> </w:t>
      </w:r>
      <w:r>
        <w:rPr/>
        <w:t>ЭПЦ-241201-263-ЭП.</w:t>
      </w:r>
    </w:p>
    <w:p>
      <w:pPr>
        <w:pStyle w:val="Normal"/>
        <w:ind w:left="426" w:hanging="0"/>
        <w:rPr>
          <w:lang w:eastAsia="x-none"/>
        </w:rPr>
      </w:pPr>
      <w:r>
        <w:rPr>
          <w:lang w:eastAsia="x-none"/>
        </w:rPr>
      </w:r>
    </w:p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7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0"/>
        <w:gridCol w:w="3302"/>
        <w:gridCol w:w="3260"/>
      </w:tblGrid>
      <w:tr>
        <w:trPr/>
        <w:tc>
          <w:tcPr>
            <w:tcW w:w="9712" w:type="dxa"/>
            <w:gridSpan w:val="3"/>
            <w:tcBorders/>
          </w:tcPr>
          <w:p>
            <w:pPr>
              <w:pStyle w:val="BodyText"/>
              <w:widowControl w:val="false"/>
              <w:spacing w:before="0" w:after="120"/>
              <w:jc w:val="both"/>
              <w:rPr/>
            </w:pPr>
            <w:bookmarkStart w:id="24" w:name="RANGE!A1%253AJ66"/>
            <w:bookmarkEnd w:id="24"/>
            <w:r>
              <w:rPr>
                <w:b/>
                <w:bCs/>
                <w:sz w:val="24"/>
                <w:szCs w:val="24"/>
              </w:rPr>
              <w:t>Технические требования подготовил:</w:t>
            </w:r>
          </w:p>
        </w:tc>
      </w:tr>
      <w:tr>
        <w:trPr/>
        <w:tc>
          <w:tcPr>
            <w:tcW w:w="3150" w:type="dxa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bCs/>
                <w:sz w:val="24"/>
                <w:szCs w:val="24"/>
              </w:rPr>
              <w:t xml:space="preserve">Инженер по техническому надзору ОКСиР </w:t>
            </w:r>
          </w:p>
        </w:tc>
        <w:tc>
          <w:tcPr>
            <w:tcW w:w="3302" w:type="dxa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3260" w:type="dxa"/>
            <w:tcBorders/>
          </w:tcPr>
          <w:p>
            <w:pPr>
              <w:pStyle w:val="BodyText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Киприянов В. Д.</w:t>
            </w:r>
          </w:p>
          <w:p>
            <w:pPr>
              <w:pStyle w:val="BodyText"/>
              <w:widowControl w:val="false"/>
              <w:spacing w:before="0" w:after="120"/>
              <w:jc w:val="both"/>
              <w:rPr/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  <w:tr>
        <w:trPr/>
        <w:tc>
          <w:tcPr>
            <w:tcW w:w="3150" w:type="dxa"/>
            <w:tcBorders/>
            <w:vAlign w:val="center"/>
          </w:tcPr>
          <w:p>
            <w:pPr>
              <w:pStyle w:val="BodyText"/>
              <w:widowControl w:val="false"/>
              <w:snapToGrid w:val="false"/>
              <w:spacing w:before="0" w:after="1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02" w:type="dxa"/>
            <w:tcBorders/>
          </w:tcPr>
          <w:p>
            <w:pPr>
              <w:pStyle w:val="BodyText"/>
              <w:widowControl w:val="false"/>
              <w:snapToGrid w:val="false"/>
              <w:spacing w:before="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BodyText"/>
              <w:widowControl w:val="false"/>
              <w:snapToGrid w:val="false"/>
              <w:spacing w:before="0" w:after="1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712" w:type="dxa"/>
            <w:gridSpan w:val="3"/>
            <w:tcBorders/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  <w:szCs w:val="24"/>
              </w:rPr>
              <w:t>Согласовано:</w:t>
            </w:r>
          </w:p>
        </w:tc>
      </w:tr>
      <w:tr>
        <w:trPr/>
        <w:tc>
          <w:tcPr>
            <w:tcW w:w="3150" w:type="dxa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sz w:val="24"/>
                <w:szCs w:val="24"/>
              </w:rPr>
              <w:t xml:space="preserve">Начальник ОКСиР </w:t>
            </w:r>
          </w:p>
        </w:tc>
        <w:tc>
          <w:tcPr>
            <w:tcW w:w="3302" w:type="dxa"/>
            <w:tcBorders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___________________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BodyText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Николаева М. А.</w:t>
            </w:r>
          </w:p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sz w:val="24"/>
                <w:szCs w:val="24"/>
              </w:rPr>
              <w:t>«____»___________  2026 г.</w:t>
            </w:r>
          </w:p>
        </w:tc>
      </w:tr>
    </w:tbl>
    <w:p>
      <w:pPr>
        <w:pStyle w:val="Normal"/>
        <w:spacing w:lineRule="auto" w:line="276" w:before="120" w:after="120"/>
        <w:rPr>
          <w:sz w:val="24"/>
          <w:szCs w:val="24"/>
        </w:rPr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1304" w:right="926" w:gutter="0" w:header="0" w:top="540" w:footer="567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0373037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000000" w:themeColor="text1"/>
      </w:rPr>
    </w:pPr>
    <w:r>
      <w:rPr>
        <w:color w:val="000000" w:themeColor="text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2512432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000000" w:themeColor="text1"/>
      </w:rPr>
    </w:pPr>
    <w:r>
      <w:rPr>
        <w:color w:val="000000" w:themeColor="text1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37871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000000" w:themeColor="text1"/>
      </w:rPr>
    </w:pPr>
    <w:r>
      <w:rPr>
        <w:color w:val="000000" w:themeColor="text1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uiPriority="35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Body Text Indent 3" w:qFormat="1"/>
    <w:lsdException w:name="Hyperlink" w:uiPriority="99"/>
    <w:lsdException w:name="Strong" w:uiPriority="22" w:qFormat="1"/>
    <w:lsdException w:name="Emphasis" w:uiPriority="20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18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76353a"/>
    <w:pPr>
      <w:keepNext w:val="true"/>
      <w:jc w:val="center"/>
      <w:outlineLvl w:val="0"/>
    </w:pPr>
    <w:rPr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2"/>
    <w:uiPriority w:val="9"/>
    <w:qFormat/>
    <w:rsid w:val="002d163a"/>
    <w:pPr>
      <w:keepNext w:val="true"/>
      <w:numPr>
        <w:ilvl w:val="0"/>
        <w:numId w:val="4"/>
      </w:numPr>
      <w:spacing w:before="120" w:after="120"/>
      <w:ind w:left="720" w:hanging="0"/>
      <w:outlineLvl w:val="1"/>
    </w:pPr>
    <w:rPr>
      <w:b/>
      <w:bCs/>
      <w:iCs/>
      <w:sz w:val="24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rsid w:val="0076353a"/>
    <w:pPr>
      <w:keepNext w:val="true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qFormat/>
    <w:rsid w:val="0076353a"/>
    <w:pPr>
      <w:keepNext w:val="true"/>
      <w:spacing w:before="240" w:after="60"/>
      <w:outlineLvl w:val="3"/>
    </w:pPr>
    <w:rPr>
      <w:b/>
      <w:bCs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semiHidden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d22f6d"/>
    <w:rPr>
      <w:b/>
      <w:sz w:val="24"/>
    </w:rPr>
  </w:style>
  <w:style w:type="character" w:styleId="2" w:customStyle="1">
    <w:name w:val="Заголовок 2 Знак"/>
    <w:uiPriority w:val="9"/>
    <w:qFormat/>
    <w:rsid w:val="002d163a"/>
    <w:rPr>
      <w:b/>
      <w:bCs/>
      <w:iCs/>
      <w:sz w:val="24"/>
      <w:szCs w:val="28"/>
      <w:lang w:val="x-none" w:eastAsia="x-none"/>
    </w:rPr>
  </w:style>
  <w:style w:type="character" w:styleId="3" w:customStyle="1">
    <w:name w:val="Заголовок 3 Знак"/>
    <w:uiPriority w:val="9"/>
    <w:qFormat/>
    <w:rsid w:val="00d22f6d"/>
    <w:rPr>
      <w:rFonts w:ascii="Arial" w:hAnsi="Arial" w:cs="Arial"/>
      <w:b/>
      <w:bCs/>
      <w:sz w:val="26"/>
      <w:szCs w:val="26"/>
    </w:rPr>
  </w:style>
  <w:style w:type="character" w:styleId="4" w:customStyle="1">
    <w:name w:val="Заголовок 4 Знак"/>
    <w:uiPriority w:val="9"/>
    <w:qFormat/>
    <w:rsid w:val="00d22f6d"/>
    <w:rPr>
      <w:b/>
      <w:bCs/>
      <w:sz w:val="28"/>
      <w:szCs w:val="28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Заголовок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19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semiHidden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qFormat/>
    <w:rsid w:val="00411662"/>
    <w:rPr>
      <w:color w:val="808080"/>
    </w:rPr>
  </w:style>
  <w:style w:type="character" w:styleId="Style7" w:customStyle="1">
    <w:name w:val="Нижний колонтитул Знак"/>
    <w:basedOn w:val="DefaultParagraphFont"/>
    <w:uiPriority w:val="99"/>
    <w:qFormat/>
    <w:rsid w:val="007a204d"/>
    <w:rPr>
      <w:sz w:val="28"/>
      <w:szCs w:val="28"/>
    </w:rPr>
  </w:style>
  <w:style w:type="character" w:styleId="Style8" w:customStyle="1">
    <w:name w:val="Абзац списка Знак"/>
    <w:link w:val="ListParagraph"/>
    <w:uiPriority w:val="34"/>
    <w:qFormat/>
    <w:locked/>
    <w:rsid w:val="00d955be"/>
    <w:rPr>
      <w:rFonts w:eastAsia="Calibri"/>
      <w:sz w:val="24"/>
      <w:szCs w:val="24"/>
    </w:rPr>
  </w:style>
  <w:style w:type="character" w:styleId="31" w:customStyle="1">
    <w:name w:val="Основной текст с отступом 3 Знак"/>
    <w:link w:val="BodyTextIndent3"/>
    <w:qFormat/>
    <w:rsid w:val="00ae744d"/>
    <w:rPr>
      <w:sz w:val="16"/>
      <w:szCs w:val="16"/>
    </w:rPr>
  </w:style>
  <w:style w:type="character" w:styleId="Style9" w:customStyle="1">
    <w:name w:val="комментарий"/>
    <w:qFormat/>
    <w:rsid w:val="00ae744d"/>
    <w:rPr>
      <w:b/>
      <w:i/>
      <w:shd w:fill="FFFF99" w:val="clear"/>
    </w:rPr>
  </w:style>
  <w:style w:type="character" w:styleId="Style10" w:customStyle="1">
    <w:name w:val="Приветствие Знак"/>
    <w:basedOn w:val="DefaultParagraphFont"/>
    <w:qFormat/>
    <w:rsid w:val="007d3d0b"/>
    <w:rPr>
      <w:rFonts w:eastAsia="Calibri"/>
      <w:sz w:val="24"/>
      <w:szCs w:val="24"/>
    </w:rPr>
  </w:style>
  <w:style w:type="character" w:styleId="Style11" w:customStyle="1">
    <w:name w:val="ЗАГОЛОВОК Знак"/>
    <w:link w:val="Style26"/>
    <w:qFormat/>
    <w:rsid w:val="00413f40"/>
    <w:rPr>
      <w:rFonts w:ascii="Arial" w:hAnsi="Arial"/>
      <w:b/>
      <w:smallCaps/>
      <w:sz w:val="28"/>
      <w:szCs w:val="28"/>
      <w:lang w:val="x-none" w:eastAsia="x-none"/>
    </w:rPr>
  </w:style>
  <w:style w:type="character" w:styleId="Style12" w:customStyle="1">
    <w:name w:val="Ссылка указателя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5" w:customStyle="1">
    <w:name w:val="Название раздела инструкции"/>
    <w:basedOn w:val="Normal"/>
    <w:autoRedefine/>
    <w:qFormat/>
    <w:rsid w:val="00a70de4"/>
    <w:pPr>
      <w:numPr>
        <w:ilvl w:val="0"/>
        <w:numId w:val="3"/>
      </w:numPr>
      <w:jc w:val="center"/>
    </w:pPr>
    <w:rPr>
      <w:b/>
    </w:rPr>
  </w:style>
  <w:style w:type="paragraph" w:styleId="Style16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7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semiHidden/>
    <w:rsid w:val="00d561d9"/>
    <w:pPr/>
    <w:rPr>
      <w:sz w:val="20"/>
      <w:szCs w:val="20"/>
    </w:rPr>
  </w:style>
  <w:style w:type="paragraph" w:styleId="12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2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1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9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6c2f3f"/>
    <w:pPr/>
    <w:rPr/>
  </w:style>
  <w:style w:type="paragraph" w:styleId="TOC3">
    <w:name w:val="TOC 3"/>
    <w:basedOn w:val="Normal"/>
    <w:next w:val="Normal"/>
    <w:autoRedefine/>
    <w:uiPriority w:val="39"/>
    <w:rsid w:val="006c2f3f"/>
    <w:pPr>
      <w:ind w:left="560" w:hanging="0"/>
    </w:pPr>
    <w:rPr/>
  </w:style>
  <w:style w:type="paragraph" w:styleId="Style20" w:customStyle="1">
    <w:name w:val="Раздел регламента"/>
    <w:basedOn w:val="Normal"/>
    <w:qFormat/>
    <w:rsid w:val="00e228fa"/>
    <w:pPr/>
    <w:rPr/>
  </w:style>
  <w:style w:type="paragraph" w:styleId="Style21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b74d9a"/>
    <w:pPr>
      <w:tabs>
        <w:tab w:val="clear" w:pos="708"/>
        <w:tab w:val="left" w:pos="1120" w:leader="none"/>
        <w:tab w:val="right" w:pos="9666" w:leader="dot"/>
      </w:tabs>
      <w:ind w:left="280" w:hanging="0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NormalWeb">
    <w:name w:val="Normal (Web)"/>
    <w:basedOn w:val="Normal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/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/>
  </w:style>
  <w:style w:type="paragraph" w:styleId="TOC4">
    <w:name w:val="TOC 4"/>
    <w:basedOn w:val="Normal"/>
    <w:next w:val="Normal"/>
    <w:autoRedefine/>
    <w:semiHidden/>
    <w:rsid w:val="00f57628"/>
    <w:pPr>
      <w:ind w:left="840" w:hanging="0"/>
    </w:pPr>
    <w:rPr/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2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8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4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3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5" w:customStyle="1">
    <w:name w:val="Таблица"/>
    <w:basedOn w:val="Normal"/>
    <w:qFormat/>
    <w:rsid w:val="001429cc"/>
    <w:pPr/>
    <w:rPr>
      <w:sz w:val="20"/>
      <w:szCs w:val="20"/>
    </w:rPr>
  </w:style>
  <w:style w:type="paragraph" w:styleId="Formattext" w:customStyle="1">
    <w:name w:val="formattext"/>
    <w:basedOn w:val="Normal"/>
    <w:qFormat/>
    <w:rsid w:val="00e86b86"/>
    <w:pPr>
      <w:spacing w:beforeAutospacing="1" w:afterAutospacing="1"/>
    </w:pPr>
    <w:rPr>
      <w:sz w:val="24"/>
      <w:szCs w:val="24"/>
    </w:rPr>
  </w:style>
  <w:style w:type="paragraph" w:styleId="Salutation">
    <w:name w:val="Salutation"/>
    <w:basedOn w:val="Normal"/>
    <w:next w:val="Normal"/>
    <w:link w:val="Style10"/>
    <w:rsid w:val="007d3d0b"/>
    <w:pPr/>
    <w:rPr>
      <w:rFonts w:eastAsia="Calibri"/>
      <w:sz w:val="24"/>
      <w:szCs w:val="24"/>
    </w:rPr>
  </w:style>
  <w:style w:type="paragraph" w:styleId="Style26" w:customStyle="1">
    <w:name w:val="ЗАГОЛОВОК"/>
    <w:basedOn w:val="Normal"/>
    <w:link w:val="Style11"/>
    <w:qFormat/>
    <w:rsid w:val="00413f40"/>
    <w:pPr>
      <w:spacing w:before="0" w:after="120"/>
      <w:ind w:left="567" w:hanging="0"/>
    </w:pPr>
    <w:rPr>
      <w:rFonts w:ascii="Arial" w:hAnsi="Arial"/>
      <w:b/>
      <w:smallCaps/>
      <w:lang w:val="x-none" w:eastAsia="x-none"/>
    </w:rPr>
  </w:style>
  <w:style w:type="paragraph" w:styleId="Default" w:customStyle="1">
    <w:name w:val="Default"/>
    <w:qFormat/>
    <w:rsid w:val="007038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7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4" w:customStyle="1">
    <w:name w:val="Стиль1"/>
    <w:uiPriority w:val="99"/>
    <w:qFormat/>
    <w:rsid w:val="00f001e4"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">
    <w:name w:val="Table Grid"/>
    <w:basedOn w:val="a4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64CA-7195-45C1-87C1-A6211C9F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Application>AlterOffice/3.4.0.9$Linux_X86_64 LibreOffice_project/b8daf9e823b1a5463a2f48435ddc2e8696e7d4fc</Application>
  <AppVersion>15.0000</AppVersion>
  <Pages>8</Pages>
  <Words>1773</Words>
  <Characters>12365</Characters>
  <CharactersWithSpaces>13951</CharactersWithSpaces>
  <Paragraphs>488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2024-09-16T03:09:00Z</dcterms:created>
  <dc:creator>ErmolaevKA</dc:creator>
  <dc:description/>
  <dc:language>ru-RU</dc:language>
  <cp:lastModifiedBy>ivanovaaa</cp:lastModifiedBy>
  <cp:lastPrinted>2026-03-26T07:56:00Z</cp:lastPrinted>
  <dcterms:modified xsi:type="dcterms:W3CDTF">2026-07-10T13:31:45Z</dcterms:modified>
  <cp:revision>56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